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bookmarkStart w:id="0" w:name="_GoBack"/>
    </w:p>
    <w:bookmarkEnd w:id="0"/>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lastRenderedPageBreak/>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w:t>
      </w:r>
      <w:r w:rsidRPr="00AB6252">
        <w:rPr>
          <w:rFonts w:ascii="Arial" w:hAnsi="Arial" w:cs="Arial"/>
          <w:sz w:val="20"/>
          <w:szCs w:val="20"/>
        </w:rPr>
        <w:lastRenderedPageBreak/>
        <w:t>summaries and 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lastRenderedPageBreak/>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w:t>
      </w:r>
      <w:r w:rsidR="004A53E8" w:rsidRPr="00AB6252">
        <w:rPr>
          <w:rFonts w:ascii="Arial" w:hAnsi="Arial" w:cs="Arial"/>
          <w:sz w:val="20"/>
          <w:szCs w:val="20"/>
        </w:rPr>
        <w:lastRenderedPageBreak/>
        <w:t xml:space="preserve">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 xml:space="preserve">ontractor will provide services twenty four (24) hours per day, seven (7) days per week, as </w:t>
      </w:r>
      <w:r w:rsidR="004A7F3D" w:rsidRPr="00AB6252">
        <w:rPr>
          <w:rFonts w:ascii="Arial" w:hAnsi="Arial" w:cs="Arial"/>
          <w:sz w:val="20"/>
          <w:szCs w:val="20"/>
        </w:rPr>
        <w:lastRenderedPageBreak/>
        <w:t>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lastRenderedPageBreak/>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lastRenderedPageBreak/>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lastRenderedPageBreak/>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lastRenderedPageBreak/>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xml:space="preserve">) has been convicted of a criminal offense </w:t>
      </w:r>
      <w:r w:rsidR="00673C79" w:rsidRPr="00AB6252">
        <w:rPr>
          <w:rFonts w:ascii="Arial" w:hAnsi="Arial" w:cs="Arial"/>
          <w:color w:val="000000"/>
          <w:sz w:val="20"/>
          <w:szCs w:val="20"/>
        </w:rPr>
        <w:lastRenderedPageBreak/>
        <w:t>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 xml:space="preserve">“FOIA”) and as such, will not be treated as confidential </w:t>
      </w:r>
      <w:r w:rsidR="00AB6252" w:rsidRPr="00AB6252">
        <w:rPr>
          <w:rFonts w:ascii="Arial" w:hAnsi="Arial" w:cs="Arial"/>
          <w:sz w:val="20"/>
          <w:szCs w:val="20"/>
        </w:rPr>
        <w:lastRenderedPageBreak/>
        <w:t>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lastRenderedPageBreak/>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w:t>
      </w:r>
      <w:r w:rsidRPr="00AB6252">
        <w:rPr>
          <w:rFonts w:ascii="Arial" w:hAnsi="Arial" w:cs="Arial"/>
          <w:sz w:val="20"/>
          <w:szCs w:val="20"/>
        </w:rPr>
        <w:lastRenderedPageBreak/>
        <w:t>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lastRenderedPageBreak/>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lastRenderedPageBreak/>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w:t>
      </w:r>
      <w:r w:rsidRPr="00887249">
        <w:rPr>
          <w:rFonts w:ascii="Arial" w:hAnsi="Arial" w:cs="Arial"/>
          <w:sz w:val="20"/>
          <w:szCs w:val="20"/>
        </w:rPr>
        <w:lastRenderedPageBreak/>
        <w:t>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w:t>
      </w:r>
      <w:r w:rsidRPr="00887249">
        <w:rPr>
          <w:rFonts w:ascii="Arial" w:hAnsi="Arial" w:cs="Arial"/>
          <w:sz w:val="20"/>
          <w:szCs w:val="20"/>
        </w:rPr>
        <w:lastRenderedPageBreak/>
        <w:t>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 xml:space="preserve">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w:t>
      </w:r>
      <w:r w:rsidRPr="00887249">
        <w:rPr>
          <w:rFonts w:ascii="Arial" w:hAnsi="Arial" w:cs="Arial"/>
          <w:sz w:val="20"/>
          <w:szCs w:val="20"/>
        </w:rPr>
        <w:lastRenderedPageBreak/>
        <w:t>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lastRenderedPageBreak/>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w:t>
      </w:r>
      <w:r w:rsidRPr="00AF1FD9">
        <w:rPr>
          <w:rFonts w:ascii="Arial" w:hAnsi="Arial" w:cs="Arial"/>
          <w:sz w:val="20"/>
          <w:szCs w:val="20"/>
        </w:rPr>
        <w:lastRenderedPageBreak/>
        <w:t xml:space="preserve">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(e) The Contractor shall include the provisions of subsection (b) of this Section in every subcontract or purchase order entered into in order to fulfill any obligation of a contract with the State and in every subcontract entered into in order to fulfill any obligation of a </w:t>
      </w:r>
      <w:r w:rsidRPr="00AF1FD9">
        <w:rPr>
          <w:rFonts w:ascii="Arial" w:hAnsi="Arial" w:cs="Arial"/>
          <w:sz w:val="20"/>
          <w:szCs w:val="20"/>
        </w:rPr>
        <w:lastRenderedPageBreak/>
        <w:t>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w:t>
      </w:r>
      <w:r w:rsidRPr="00AF1FD9">
        <w:rPr>
          <w:rFonts w:ascii="Arial" w:hAnsi="Arial" w:cs="Arial"/>
          <w:sz w:val="20"/>
          <w:szCs w:val="20"/>
        </w:rPr>
        <w:lastRenderedPageBreak/>
        <w:t>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lastRenderedPageBreak/>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lastRenderedPageBreak/>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lastRenderedPageBreak/>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lastRenderedPageBreak/>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lastRenderedPageBreak/>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lastRenderedPageBreak/>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If such motor </w:t>
      </w:r>
      <w:r w:rsidR="00B53CB0" w:rsidRPr="00AB6252">
        <w:rPr>
          <w:rFonts w:ascii="Arial" w:hAnsi="Arial" w:cs="Arial"/>
          <w:color w:val="000000"/>
          <w:sz w:val="20"/>
          <w:szCs w:val="20"/>
        </w:rPr>
        <w:lastRenderedPageBreak/>
        <w:t>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lastRenderedPageBreak/>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lastRenderedPageBreak/>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lastRenderedPageBreak/>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lastRenderedPageBreak/>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xml:space="preserve">, </w:t>
      </w:r>
      <w:r w:rsidRPr="00EE5BEE">
        <w:rPr>
          <w:rFonts w:ascii="Arial" w:hAnsi="Arial" w:cs="Arial"/>
          <w:sz w:val="20"/>
          <w:szCs w:val="20"/>
        </w:rPr>
        <w:lastRenderedPageBreak/>
        <w:t>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 xml:space="preserve">A Party’s failure to insist on strict performance of any provision of this Contract shall only </w:t>
      </w:r>
      <w:r w:rsidRPr="00AB6252">
        <w:rPr>
          <w:rFonts w:ascii="Arial" w:hAnsi="Arial" w:cs="Arial"/>
          <w:sz w:val="20"/>
          <w:szCs w:val="20"/>
        </w:rPr>
        <w:lastRenderedPageBreak/>
        <w:t>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lastRenderedPageBreak/>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lastRenderedPageBreak/>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39A7E0C9"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F90168">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F90168">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168"/>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purl.org/dc/terms/"/>
    <ds:schemaRef ds:uri="http://schemas.openxmlformats.org/package/2006/metadata/core-properties"/>
    <ds:schemaRef ds:uri="http://schemas.microsoft.com/office/2006/documentManagement/types"/>
    <ds:schemaRef ds:uri="70c65ffa-23bc-4145-a43a-d9504a3f0c01"/>
    <ds:schemaRef ds:uri="16a4e7d6-8026-4776-9570-3b592f4df5b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9DAC53F2-54E7-4D34-8AE2-E56DC4F6974D}">
  <ds:schemaRefs>
    <ds:schemaRef ds:uri="http://schemas.openxmlformats.org/officeDocument/2006/bibliography"/>
  </ds:schemaRefs>
</ds:datastoreItem>
</file>

<file path=customXml/itemProps6.xml><?xml version="1.0" encoding="utf-8"?>
<ds:datastoreItem xmlns:ds="http://schemas.openxmlformats.org/officeDocument/2006/customXml" ds:itemID="{C281D512-75DF-4CCB-B0C1-3A87CED5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Roy,Margaret</cp:lastModifiedBy>
  <cp:revision>2</cp:revision>
  <cp:lastPrinted>2013-09-27T16:37:00Z</cp:lastPrinted>
  <dcterms:created xsi:type="dcterms:W3CDTF">2020-06-09T12:36:00Z</dcterms:created>
  <dcterms:modified xsi:type="dcterms:W3CDTF">2020-06-09T12:36:00Z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