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E86" w:rsidRDefault="00097DFE" w:rsidP="0038770B">
      <w:pPr>
        <w:jc w:val="center"/>
        <w:rPr>
          <w:b/>
        </w:rPr>
      </w:pPr>
      <w:r>
        <w:rPr>
          <w:b/>
          <w:sz w:val="24"/>
          <w:szCs w:val="24"/>
        </w:rPr>
        <w:t xml:space="preserve">FAQ:  </w:t>
      </w:r>
      <w:r w:rsidR="0038770B" w:rsidRPr="0038770B">
        <w:rPr>
          <w:b/>
          <w:sz w:val="24"/>
          <w:szCs w:val="24"/>
        </w:rPr>
        <w:t>Procurem</w:t>
      </w:r>
      <w:r w:rsidR="00D31DF1">
        <w:rPr>
          <w:b/>
          <w:sz w:val="24"/>
          <w:szCs w:val="24"/>
        </w:rPr>
        <w:t xml:space="preserve">ent Notice: Department of Housing Study of Accessible and Affordable Housing </w:t>
      </w:r>
      <w:r w:rsidR="0038770B" w:rsidRPr="0038770B">
        <w:rPr>
          <w:b/>
        </w:rPr>
        <w:t>Request for Proposals (RFP)</w:t>
      </w:r>
    </w:p>
    <w:p w:rsidR="0038770B" w:rsidRDefault="0038770B" w:rsidP="0038770B">
      <w:pPr>
        <w:jc w:val="center"/>
        <w:rPr>
          <w:b/>
        </w:rPr>
      </w:pPr>
    </w:p>
    <w:p w:rsidR="0038770B" w:rsidRDefault="0038770B" w:rsidP="00971672">
      <w:pPr>
        <w:jc w:val="center"/>
        <w:rPr>
          <w:b/>
        </w:rPr>
      </w:pPr>
      <w:r>
        <w:rPr>
          <w:b/>
        </w:rPr>
        <w:t>Questions and Answers</w:t>
      </w:r>
    </w:p>
    <w:p w:rsidR="007F0524" w:rsidRDefault="007F0524" w:rsidP="00971672">
      <w:pPr>
        <w:jc w:val="center"/>
        <w:rPr>
          <w:b/>
        </w:rPr>
      </w:pPr>
    </w:p>
    <w:p w:rsidR="007F0524" w:rsidRDefault="007F0524" w:rsidP="007F0524">
      <w:pPr>
        <w:numPr>
          <w:ilvl w:val="0"/>
          <w:numId w:val="8"/>
        </w:numPr>
        <w:tabs>
          <w:tab w:val="clear" w:pos="720"/>
          <w:tab w:val="num" w:pos="360"/>
        </w:tabs>
        <w:ind w:left="360"/>
      </w:pPr>
      <w:r w:rsidRPr="007F0524">
        <w:t xml:space="preserve">What is the definition of accessible housing in relation to deliverables of the RFP?  </w:t>
      </w:r>
    </w:p>
    <w:p w:rsidR="007F0524" w:rsidRPr="007F0524" w:rsidRDefault="007F0524" w:rsidP="007F0524">
      <w:pPr>
        <w:numPr>
          <w:ilvl w:val="1"/>
          <w:numId w:val="8"/>
        </w:numPr>
      </w:pPr>
      <w:r>
        <w:t xml:space="preserve">Response: </w:t>
      </w:r>
      <w:r w:rsidRPr="007F0524">
        <w:t xml:space="preserve">The simple definition which </w:t>
      </w:r>
      <w:proofErr w:type="gramStart"/>
      <w:r w:rsidRPr="007F0524">
        <w:t>is ”dwelling</w:t>
      </w:r>
      <w:proofErr w:type="gramEnd"/>
      <w:r w:rsidRPr="007F0524">
        <w:t xml:space="preserve"> units in the state which are accessible to persons with disabilities”.   It does not mean only units which are fully accessible, but at the very least must provide entry to the unit.</w:t>
      </w:r>
    </w:p>
    <w:p w:rsidR="007F0524" w:rsidRDefault="007F0524" w:rsidP="007F0524">
      <w:pPr>
        <w:numPr>
          <w:ilvl w:val="0"/>
          <w:numId w:val="8"/>
        </w:numPr>
        <w:tabs>
          <w:tab w:val="clear" w:pos="720"/>
          <w:tab w:val="num" w:pos="360"/>
        </w:tabs>
        <w:ind w:left="360"/>
      </w:pPr>
      <w:r w:rsidRPr="007F0524">
        <w:t xml:space="preserve">What is the impetus that spurred the issuance of the RFP and how will the resulting data be utilized by DOH?  </w:t>
      </w:r>
    </w:p>
    <w:p w:rsidR="007F0524" w:rsidRPr="007F0524" w:rsidRDefault="007F0524" w:rsidP="007F0524">
      <w:pPr>
        <w:numPr>
          <w:ilvl w:val="1"/>
          <w:numId w:val="8"/>
        </w:numPr>
      </w:pPr>
      <w:r>
        <w:t xml:space="preserve">Response: </w:t>
      </w:r>
      <w:r w:rsidRPr="007F0524">
        <w:t>In coordination with an effort under the Department of Social Services associated with the identification of supply and demand for accessible housing across the state (required by Money Follows the Person “MFP”), our original intent was to collect additional information and data to support the Analysis of Impediments to Fair Housing Choice (“AI”).  As the study will not be done in time to support the current AI, we expect that the data will be used both by DSS for its original intent associated with MFP, as well as to identify long term housing availability and demand.</w:t>
      </w:r>
    </w:p>
    <w:p w:rsidR="007F0524" w:rsidRDefault="007F0524" w:rsidP="007F0524">
      <w:pPr>
        <w:numPr>
          <w:ilvl w:val="0"/>
          <w:numId w:val="8"/>
        </w:numPr>
        <w:tabs>
          <w:tab w:val="clear" w:pos="720"/>
          <w:tab w:val="num" w:pos="360"/>
        </w:tabs>
        <w:ind w:left="360"/>
      </w:pPr>
      <w:r w:rsidRPr="007F0524">
        <w:t xml:space="preserve">Has this type of study been previously funded in other locations?  If so, are they available for review? </w:t>
      </w:r>
    </w:p>
    <w:p w:rsidR="007F0524" w:rsidRPr="007F0524" w:rsidRDefault="007F0524" w:rsidP="007F0524">
      <w:pPr>
        <w:numPr>
          <w:ilvl w:val="1"/>
          <w:numId w:val="8"/>
        </w:numPr>
      </w:pPr>
      <w:r>
        <w:t xml:space="preserve">Response: </w:t>
      </w:r>
      <w:r w:rsidRPr="007F0524">
        <w:t>Not that we are aware of.</w:t>
      </w:r>
    </w:p>
    <w:p w:rsidR="007F0524" w:rsidRDefault="007F0524" w:rsidP="007F0524">
      <w:pPr>
        <w:numPr>
          <w:ilvl w:val="0"/>
          <w:numId w:val="8"/>
        </w:numPr>
        <w:tabs>
          <w:tab w:val="clear" w:pos="720"/>
          <w:tab w:val="num" w:pos="360"/>
        </w:tabs>
        <w:ind w:left="360"/>
      </w:pPr>
      <w:r w:rsidRPr="007F0524">
        <w:t xml:space="preserve">When determining housing supply, should Housing Choice Vouchers, project based vouchers, and others types of housing subsidies be included? </w:t>
      </w:r>
    </w:p>
    <w:p w:rsidR="007F0524" w:rsidRPr="007F0524" w:rsidRDefault="007F0524" w:rsidP="007F0524">
      <w:pPr>
        <w:numPr>
          <w:ilvl w:val="1"/>
          <w:numId w:val="8"/>
        </w:numPr>
      </w:pPr>
      <w:r>
        <w:t xml:space="preserve">Response: </w:t>
      </w:r>
      <w:r w:rsidRPr="007F0524">
        <w:t>No.  This study is about hard units.</w:t>
      </w:r>
    </w:p>
    <w:p w:rsidR="007F0524" w:rsidRDefault="007F0524" w:rsidP="007F0524">
      <w:pPr>
        <w:numPr>
          <w:ilvl w:val="0"/>
          <w:numId w:val="8"/>
        </w:numPr>
        <w:tabs>
          <w:tab w:val="clear" w:pos="720"/>
          <w:tab w:val="num" w:pos="360"/>
        </w:tabs>
        <w:ind w:left="360"/>
      </w:pPr>
      <w:r w:rsidRPr="007F0524">
        <w:t xml:space="preserve">In addition to subcontractors or partners identified and listed within the RFP, if granted the award, can others be added subsequently? </w:t>
      </w:r>
    </w:p>
    <w:p w:rsidR="007F0524" w:rsidRPr="007F0524" w:rsidRDefault="007F0524" w:rsidP="007F0524">
      <w:pPr>
        <w:numPr>
          <w:ilvl w:val="1"/>
          <w:numId w:val="8"/>
        </w:numPr>
      </w:pPr>
      <w:r>
        <w:t xml:space="preserve">Response: </w:t>
      </w:r>
      <w:r w:rsidRPr="007F0524">
        <w:t>Yes, but only under the original cost estimate.</w:t>
      </w:r>
    </w:p>
    <w:p w:rsidR="00E264B0" w:rsidRDefault="00E264B0" w:rsidP="00E264B0">
      <w:pPr>
        <w:pStyle w:val="ListParagraph"/>
        <w:numPr>
          <w:ilvl w:val="0"/>
          <w:numId w:val="5"/>
        </w:numPr>
        <w:spacing w:after="0" w:line="240" w:lineRule="auto"/>
        <w:ind w:left="360"/>
        <w:contextualSpacing w:val="0"/>
      </w:pPr>
      <w:r>
        <w:t>Will the resulting contract have any renewal options past the initial expiration date of 12/31/2020?</w:t>
      </w:r>
    </w:p>
    <w:p w:rsidR="00E264B0" w:rsidRDefault="00E264B0" w:rsidP="00E264B0">
      <w:pPr>
        <w:pStyle w:val="ListParagraph"/>
        <w:numPr>
          <w:ilvl w:val="1"/>
          <w:numId w:val="5"/>
        </w:numPr>
        <w:spacing w:after="0" w:line="240" w:lineRule="auto"/>
        <w:contextualSpacing w:val="0"/>
      </w:pPr>
      <w:r>
        <w:t xml:space="preserve">Response: </w:t>
      </w:r>
      <w:r w:rsidRPr="00E264B0">
        <w:t>Unfortunately, the funding expires 12/31/20, so there will be no opportunity for extension.</w:t>
      </w:r>
    </w:p>
    <w:p w:rsidR="00E264B0" w:rsidRDefault="00E264B0" w:rsidP="00E264B0">
      <w:pPr>
        <w:pStyle w:val="ListParagraph"/>
        <w:spacing w:after="0" w:line="240" w:lineRule="auto"/>
        <w:ind w:left="1440"/>
        <w:contextualSpacing w:val="0"/>
      </w:pPr>
    </w:p>
    <w:p w:rsidR="00E264B0" w:rsidRDefault="00E264B0" w:rsidP="00E264B0">
      <w:pPr>
        <w:pStyle w:val="ListParagraph"/>
        <w:numPr>
          <w:ilvl w:val="0"/>
          <w:numId w:val="5"/>
        </w:numPr>
        <w:spacing w:after="0" w:line="240" w:lineRule="auto"/>
        <w:ind w:left="360"/>
        <w:contextualSpacing w:val="0"/>
      </w:pPr>
      <w:r>
        <w:t>Are the services in this solicitation continually needed, even beyond the term of the resulting contract, and therefore may be bid out again?</w:t>
      </w:r>
    </w:p>
    <w:p w:rsidR="00E264B0" w:rsidRPr="00E264B0" w:rsidRDefault="00E264B0" w:rsidP="00E264B0">
      <w:pPr>
        <w:pStyle w:val="ListParagraph"/>
        <w:numPr>
          <w:ilvl w:val="1"/>
          <w:numId w:val="5"/>
        </w:numPr>
        <w:spacing w:after="0" w:line="240" w:lineRule="auto"/>
        <w:contextualSpacing w:val="0"/>
      </w:pPr>
      <w:r>
        <w:t>Response:</w:t>
      </w:r>
      <w:r w:rsidRPr="00E264B0">
        <w:rPr>
          <w:rFonts w:ascii="Calibri" w:hAnsi="Calibri" w:cs="Calibri"/>
          <w:color w:val="1F497D"/>
        </w:rPr>
        <w:t xml:space="preserve"> </w:t>
      </w:r>
      <w:r w:rsidRPr="00E264B0">
        <w:t>No, we do not anticipate this being a regular activity at this time.</w:t>
      </w:r>
    </w:p>
    <w:p w:rsidR="00E264B0" w:rsidRDefault="00E264B0" w:rsidP="00E264B0">
      <w:pPr>
        <w:pStyle w:val="ListParagraph"/>
        <w:spacing w:after="0" w:line="240" w:lineRule="auto"/>
        <w:ind w:left="1440"/>
        <w:contextualSpacing w:val="0"/>
      </w:pPr>
    </w:p>
    <w:p w:rsidR="00122CC8" w:rsidRPr="00E264B0" w:rsidRDefault="00122CC8" w:rsidP="00E264B0">
      <w:pPr>
        <w:pStyle w:val="ListParagraph"/>
        <w:spacing w:after="0" w:line="240" w:lineRule="auto"/>
        <w:ind w:left="1440"/>
        <w:contextualSpacing w:val="0"/>
      </w:pPr>
    </w:p>
    <w:p w:rsidR="00EF7886" w:rsidRPr="00122CC8" w:rsidRDefault="00EF7886" w:rsidP="00EF7886">
      <w:pPr>
        <w:pStyle w:val="ListParagraph"/>
        <w:numPr>
          <w:ilvl w:val="0"/>
          <w:numId w:val="5"/>
        </w:numPr>
        <w:ind w:left="360"/>
      </w:pPr>
      <w:r w:rsidRPr="00122CC8">
        <w:t xml:space="preserve">At this </w:t>
      </w:r>
      <w:proofErr w:type="gramStart"/>
      <w:r w:rsidRPr="00122CC8">
        <w:t>time</w:t>
      </w:r>
      <w:proofErr w:type="gramEnd"/>
      <w:r w:rsidRPr="00122CC8">
        <w:t xml:space="preserve"> we will not be accepting paper copies of the proposal.  Please email one copy of the proposal to the Official Contact:</w:t>
      </w:r>
    </w:p>
    <w:p w:rsidR="00EF7886" w:rsidRDefault="00EF7886" w:rsidP="00EF7886">
      <w:pPr>
        <w:widowControl w:val="0"/>
        <w:spacing w:before="3" w:after="0" w:line="240" w:lineRule="exact"/>
        <w:ind w:left="360" w:right="244"/>
        <w:rPr>
          <w:rFonts w:eastAsia="Arial" w:cs="Times New Roman"/>
          <w:spacing w:val="-1"/>
          <w:sz w:val="24"/>
          <w:szCs w:val="24"/>
        </w:rPr>
      </w:pPr>
    </w:p>
    <w:p w:rsidR="00EF7886" w:rsidRPr="003A2EE3" w:rsidRDefault="00EF7886" w:rsidP="00EF7886">
      <w:pPr>
        <w:widowControl w:val="0"/>
        <w:spacing w:before="3" w:after="0" w:line="240" w:lineRule="exact"/>
        <w:ind w:left="360" w:right="244"/>
        <w:rPr>
          <w:rFonts w:eastAsia="Arial" w:cs="Times New Roman"/>
          <w:spacing w:val="-1"/>
          <w:sz w:val="24"/>
          <w:szCs w:val="24"/>
        </w:rPr>
      </w:pPr>
      <w:r>
        <w:rPr>
          <w:rFonts w:eastAsia="Arial" w:cs="Times New Roman"/>
          <w:spacing w:val="-1"/>
          <w:sz w:val="24"/>
          <w:szCs w:val="24"/>
        </w:rPr>
        <w:t xml:space="preserve">Michael Santoro: </w:t>
      </w:r>
      <w:hyperlink r:id="rId5" w:history="1">
        <w:r w:rsidRPr="009656F7">
          <w:rPr>
            <w:rStyle w:val="Hyperlink"/>
            <w:rFonts w:eastAsia="Arial" w:cs="Times New Roman"/>
            <w:spacing w:val="-1"/>
            <w:sz w:val="24"/>
            <w:szCs w:val="24"/>
          </w:rPr>
          <w:t>Michael.Santoro@ct.gov</w:t>
        </w:r>
      </w:hyperlink>
      <w:r>
        <w:rPr>
          <w:rFonts w:eastAsia="Arial" w:cs="Times New Roman"/>
          <w:spacing w:val="-1"/>
          <w:sz w:val="24"/>
          <w:szCs w:val="24"/>
        </w:rPr>
        <w:t xml:space="preserve"> </w:t>
      </w:r>
    </w:p>
    <w:p w:rsidR="00EF7886" w:rsidRPr="006537F4" w:rsidRDefault="00EF7886" w:rsidP="00EF7886">
      <w:pPr>
        <w:widowControl w:val="0"/>
        <w:spacing w:after="0" w:line="240" w:lineRule="exact"/>
        <w:ind w:left="360"/>
        <w:rPr>
          <w:rFonts w:eastAsia="Calibri" w:cs="Times New Roman"/>
          <w:sz w:val="24"/>
          <w:szCs w:val="24"/>
        </w:rPr>
      </w:pPr>
    </w:p>
    <w:p w:rsidR="00EF7886" w:rsidRPr="00EC3393" w:rsidRDefault="00EF7886" w:rsidP="00EF7886">
      <w:pPr>
        <w:widowControl w:val="0"/>
        <w:spacing w:before="72" w:after="0" w:line="240" w:lineRule="auto"/>
        <w:ind w:left="360"/>
        <w:rPr>
          <w:rFonts w:eastAsia="Arial" w:cs="Times New Roman"/>
          <w:sz w:val="24"/>
          <w:szCs w:val="24"/>
        </w:rPr>
      </w:pPr>
      <w:r>
        <w:rPr>
          <w:rFonts w:eastAsia="Arial" w:cs="Times New Roman"/>
          <w:spacing w:val="-1"/>
          <w:sz w:val="24"/>
          <w:szCs w:val="24"/>
        </w:rPr>
        <w:t xml:space="preserve">Please include the following in the subject bar of the email: </w:t>
      </w:r>
      <w:r w:rsidRPr="00EC3393">
        <w:rPr>
          <w:rFonts w:eastAsia="Arial" w:cs="Times New Roman"/>
          <w:spacing w:val="-1"/>
          <w:sz w:val="24"/>
          <w:szCs w:val="24"/>
        </w:rPr>
        <w:t>Legal Name</w:t>
      </w:r>
      <w:r w:rsidRPr="00EC3393">
        <w:rPr>
          <w:rFonts w:eastAsia="Arial" w:cs="Times New Roman"/>
          <w:spacing w:val="-4"/>
          <w:sz w:val="24"/>
          <w:szCs w:val="24"/>
        </w:rPr>
        <w:t xml:space="preserve"> </w:t>
      </w:r>
      <w:r w:rsidRPr="00EC3393">
        <w:rPr>
          <w:rFonts w:eastAsia="Arial" w:cs="Times New Roman"/>
          <w:spacing w:val="-2"/>
          <w:sz w:val="24"/>
          <w:szCs w:val="24"/>
        </w:rPr>
        <w:t>of</w:t>
      </w:r>
      <w:r w:rsidRPr="00EC3393">
        <w:rPr>
          <w:rFonts w:eastAsia="Arial" w:cs="Times New Roman"/>
          <w:spacing w:val="2"/>
          <w:sz w:val="24"/>
          <w:szCs w:val="24"/>
        </w:rPr>
        <w:t xml:space="preserve"> </w:t>
      </w:r>
      <w:r w:rsidRPr="00EC3393">
        <w:rPr>
          <w:rFonts w:eastAsia="Arial" w:cs="Times New Roman"/>
          <w:sz w:val="24"/>
          <w:szCs w:val="24"/>
        </w:rPr>
        <w:t>the</w:t>
      </w:r>
      <w:r w:rsidRPr="00EC3393">
        <w:rPr>
          <w:rFonts w:eastAsia="Arial" w:cs="Times New Roman"/>
          <w:spacing w:val="-1"/>
          <w:sz w:val="24"/>
          <w:szCs w:val="24"/>
        </w:rPr>
        <w:t xml:space="preserve"> respondent and</w:t>
      </w:r>
      <w:r w:rsidRPr="00EC3393">
        <w:rPr>
          <w:rFonts w:eastAsia="Arial" w:cs="Times New Roman"/>
          <w:spacing w:val="-2"/>
          <w:sz w:val="24"/>
          <w:szCs w:val="24"/>
        </w:rPr>
        <w:t xml:space="preserve"> </w:t>
      </w:r>
      <w:r w:rsidRPr="00EC3393">
        <w:rPr>
          <w:rFonts w:eastAsia="Arial" w:cs="Times New Roman"/>
          <w:spacing w:val="-1"/>
          <w:sz w:val="24"/>
          <w:szCs w:val="24"/>
        </w:rPr>
        <w:t>the</w:t>
      </w:r>
      <w:r w:rsidRPr="00EC3393">
        <w:rPr>
          <w:rFonts w:eastAsia="Arial" w:cs="Times New Roman"/>
          <w:sz w:val="24"/>
          <w:szCs w:val="24"/>
        </w:rPr>
        <w:t xml:space="preserve"> RFP</w:t>
      </w:r>
      <w:r w:rsidRPr="00EC3393">
        <w:rPr>
          <w:rFonts w:eastAsia="Arial" w:cs="Times New Roman"/>
          <w:spacing w:val="47"/>
          <w:sz w:val="24"/>
          <w:szCs w:val="24"/>
        </w:rPr>
        <w:t xml:space="preserve"> </w:t>
      </w:r>
      <w:r w:rsidRPr="00EC3393">
        <w:rPr>
          <w:rFonts w:eastAsia="Arial" w:cs="Times New Roman"/>
          <w:spacing w:val="-1"/>
          <w:sz w:val="24"/>
          <w:szCs w:val="24"/>
        </w:rPr>
        <w:t>Name:</w:t>
      </w:r>
      <w:r w:rsidRPr="00EC3393">
        <w:rPr>
          <w:rFonts w:eastAsia="Arial" w:cs="Times New Roman"/>
          <w:sz w:val="24"/>
          <w:szCs w:val="24"/>
        </w:rPr>
        <w:t xml:space="preserve"> </w:t>
      </w:r>
      <w:r w:rsidRPr="00EC3393">
        <w:rPr>
          <w:rFonts w:eastAsia="Arial" w:cs="Times New Roman"/>
          <w:spacing w:val="1"/>
          <w:sz w:val="24"/>
          <w:szCs w:val="24"/>
        </w:rPr>
        <w:t xml:space="preserve"> </w:t>
      </w:r>
      <w:r w:rsidRPr="00EC3393">
        <w:rPr>
          <w:rFonts w:eastAsia="Arial" w:cs="Times New Roman"/>
          <w:b/>
          <w:spacing w:val="1"/>
          <w:sz w:val="24"/>
          <w:szCs w:val="24"/>
        </w:rPr>
        <w:t>Department of Housing Study of Accessible and Affordable Housing for the State of Connecticut – 20DOH202PSA01</w:t>
      </w:r>
    </w:p>
    <w:p w:rsidR="00EF7886" w:rsidRPr="006537F4" w:rsidRDefault="00EF7886" w:rsidP="00EF7886">
      <w:pPr>
        <w:widowControl w:val="0"/>
        <w:tabs>
          <w:tab w:val="left" w:pos="1440"/>
        </w:tabs>
        <w:spacing w:before="10" w:after="0" w:line="240" w:lineRule="auto"/>
        <w:ind w:left="360"/>
        <w:rPr>
          <w:rFonts w:eastAsia="Arial" w:cs="Arial"/>
          <w:sz w:val="24"/>
          <w:szCs w:val="24"/>
        </w:rPr>
      </w:pPr>
    </w:p>
    <w:p w:rsidR="00EF7886" w:rsidRPr="006537F4" w:rsidRDefault="00EF7886" w:rsidP="00EF7886">
      <w:pPr>
        <w:widowControl w:val="0"/>
        <w:spacing w:after="0" w:line="240" w:lineRule="exact"/>
        <w:ind w:left="360" w:right="244"/>
        <w:rPr>
          <w:rFonts w:eastAsia="Arial" w:cs="Arial"/>
          <w:sz w:val="24"/>
          <w:szCs w:val="24"/>
        </w:rPr>
      </w:pPr>
      <w:r w:rsidRPr="006537F4">
        <w:rPr>
          <w:rFonts w:eastAsia="Arial" w:cs="Arial"/>
          <w:b/>
          <w:bCs/>
          <w:spacing w:val="-1"/>
          <w:sz w:val="24"/>
          <w:szCs w:val="24"/>
          <w:u w:val="thick" w:color="000000"/>
        </w:rPr>
        <w:t>The</w:t>
      </w:r>
      <w:r w:rsidRPr="006537F4">
        <w:rPr>
          <w:rFonts w:eastAsia="Arial" w:cs="Arial"/>
          <w:b/>
          <w:bCs/>
          <w:sz w:val="24"/>
          <w:szCs w:val="24"/>
          <w:u w:val="thick" w:color="000000"/>
        </w:rPr>
        <w:t xml:space="preserve"> </w:t>
      </w:r>
      <w:r w:rsidRPr="006537F4">
        <w:rPr>
          <w:rFonts w:eastAsia="Arial" w:cs="Arial"/>
          <w:b/>
          <w:bCs/>
          <w:spacing w:val="-1"/>
          <w:sz w:val="24"/>
          <w:szCs w:val="24"/>
          <w:u w:val="thick" w:color="000000"/>
        </w:rPr>
        <w:t>proposal</w:t>
      </w:r>
      <w:r w:rsidRPr="00F76BD7">
        <w:rPr>
          <w:rFonts w:eastAsia="Arial" w:cs="Arial"/>
          <w:b/>
          <w:bCs/>
          <w:spacing w:val="-1"/>
          <w:sz w:val="24"/>
          <w:szCs w:val="24"/>
          <w:u w:val="thick" w:color="000000"/>
        </w:rPr>
        <w:t xml:space="preserve"> </w:t>
      </w:r>
      <w:r w:rsidRPr="006537F4">
        <w:rPr>
          <w:rFonts w:eastAsia="Arial" w:cs="Arial"/>
          <w:b/>
          <w:bCs/>
          <w:sz w:val="24"/>
          <w:szCs w:val="24"/>
          <w:u w:val="thick" w:color="000000"/>
        </w:rPr>
        <w:t>must</w:t>
      </w:r>
      <w:r w:rsidRPr="006537F4">
        <w:rPr>
          <w:rFonts w:eastAsia="Arial" w:cs="Arial"/>
          <w:b/>
          <w:bCs/>
          <w:spacing w:val="-2"/>
          <w:sz w:val="24"/>
          <w:szCs w:val="24"/>
          <w:u w:val="thick" w:color="000000"/>
        </w:rPr>
        <w:t xml:space="preserve"> </w:t>
      </w:r>
      <w:r w:rsidRPr="006537F4">
        <w:rPr>
          <w:rFonts w:eastAsia="Arial" w:cs="Arial"/>
          <w:b/>
          <w:bCs/>
          <w:sz w:val="24"/>
          <w:szCs w:val="24"/>
          <w:u w:val="thick" w:color="000000"/>
        </w:rPr>
        <w:t xml:space="preserve">be </w:t>
      </w:r>
      <w:r w:rsidRPr="006537F4">
        <w:rPr>
          <w:rFonts w:eastAsia="Arial" w:cs="Arial"/>
          <w:b/>
          <w:bCs/>
          <w:spacing w:val="-1"/>
          <w:sz w:val="24"/>
          <w:szCs w:val="24"/>
          <w:u w:val="thick" w:color="000000"/>
        </w:rPr>
        <w:t>compatible</w:t>
      </w:r>
      <w:r w:rsidRPr="006537F4">
        <w:rPr>
          <w:rFonts w:eastAsia="Arial" w:cs="Arial"/>
          <w:b/>
          <w:bCs/>
          <w:spacing w:val="-4"/>
          <w:sz w:val="24"/>
          <w:szCs w:val="24"/>
          <w:u w:val="thick" w:color="000000"/>
        </w:rPr>
        <w:t xml:space="preserve"> </w:t>
      </w:r>
      <w:r w:rsidRPr="006537F4">
        <w:rPr>
          <w:rFonts w:eastAsia="Arial" w:cs="Arial"/>
          <w:b/>
          <w:bCs/>
          <w:spacing w:val="-1"/>
          <w:sz w:val="24"/>
          <w:szCs w:val="24"/>
          <w:u w:val="thick" w:color="000000"/>
        </w:rPr>
        <w:t>with</w:t>
      </w:r>
      <w:r w:rsidRPr="006537F4">
        <w:rPr>
          <w:rFonts w:eastAsia="Arial" w:cs="Arial"/>
          <w:b/>
          <w:bCs/>
          <w:spacing w:val="1"/>
          <w:sz w:val="24"/>
          <w:szCs w:val="24"/>
          <w:u w:val="thick" w:color="000000"/>
        </w:rPr>
        <w:t xml:space="preserve"> </w:t>
      </w:r>
      <w:r w:rsidRPr="006537F4">
        <w:rPr>
          <w:rFonts w:eastAsia="Arial" w:cs="Arial"/>
          <w:b/>
          <w:bCs/>
          <w:i/>
          <w:spacing w:val="-1"/>
          <w:sz w:val="24"/>
          <w:szCs w:val="24"/>
          <w:u w:val="thick" w:color="000000"/>
        </w:rPr>
        <w:t>Microsoft Office</w:t>
      </w:r>
      <w:r w:rsidRPr="006537F4">
        <w:rPr>
          <w:rFonts w:eastAsia="Arial" w:cs="Arial"/>
          <w:b/>
          <w:bCs/>
          <w:i/>
          <w:spacing w:val="-2"/>
          <w:sz w:val="24"/>
          <w:szCs w:val="24"/>
          <w:u w:val="thick" w:color="000000"/>
        </w:rPr>
        <w:t xml:space="preserve"> </w:t>
      </w:r>
      <w:r w:rsidRPr="006537F4">
        <w:rPr>
          <w:rFonts w:eastAsia="Arial" w:cs="Arial"/>
          <w:b/>
          <w:bCs/>
          <w:i/>
          <w:spacing w:val="-1"/>
          <w:sz w:val="24"/>
          <w:szCs w:val="24"/>
          <w:u w:val="thick" w:color="000000"/>
        </w:rPr>
        <w:t>Word</w:t>
      </w:r>
      <w:r w:rsidRPr="006537F4">
        <w:rPr>
          <w:rFonts w:eastAsia="Arial" w:cs="Arial"/>
          <w:b/>
          <w:bCs/>
          <w:i/>
          <w:spacing w:val="1"/>
          <w:sz w:val="24"/>
          <w:szCs w:val="24"/>
          <w:u w:val="thick" w:color="000000"/>
        </w:rPr>
        <w:t xml:space="preserve"> </w:t>
      </w:r>
      <w:r w:rsidRPr="006537F4">
        <w:rPr>
          <w:rFonts w:eastAsia="Arial" w:cs="Arial"/>
          <w:b/>
          <w:bCs/>
          <w:spacing w:val="-1"/>
          <w:sz w:val="24"/>
          <w:szCs w:val="24"/>
          <w:u w:val="thick" w:color="000000"/>
        </w:rPr>
        <w:t>except</w:t>
      </w:r>
      <w:r w:rsidRPr="006537F4">
        <w:rPr>
          <w:rFonts w:eastAsia="Arial" w:cs="Arial"/>
          <w:b/>
          <w:bCs/>
          <w:spacing w:val="-2"/>
          <w:sz w:val="24"/>
          <w:szCs w:val="24"/>
          <w:u w:val="thick" w:color="000000"/>
        </w:rPr>
        <w:t xml:space="preserve"> </w:t>
      </w:r>
      <w:r w:rsidRPr="006537F4">
        <w:rPr>
          <w:rFonts w:eastAsia="Arial" w:cs="Arial"/>
          <w:b/>
          <w:bCs/>
          <w:sz w:val="24"/>
          <w:szCs w:val="24"/>
          <w:u w:val="thick" w:color="000000"/>
        </w:rPr>
        <w:t>for</w:t>
      </w:r>
      <w:r w:rsidRPr="006537F4">
        <w:rPr>
          <w:rFonts w:eastAsia="Arial" w:cs="Arial"/>
          <w:b/>
          <w:bCs/>
          <w:spacing w:val="-2"/>
          <w:sz w:val="24"/>
          <w:szCs w:val="24"/>
          <w:u w:val="thick" w:color="000000"/>
        </w:rPr>
        <w:t xml:space="preserve"> </w:t>
      </w:r>
      <w:r w:rsidRPr="006537F4">
        <w:rPr>
          <w:rFonts w:eastAsia="Arial" w:cs="Arial"/>
          <w:b/>
          <w:bCs/>
          <w:sz w:val="24"/>
          <w:szCs w:val="24"/>
          <w:u w:val="thick" w:color="000000"/>
        </w:rPr>
        <w:t>the</w:t>
      </w:r>
      <w:r w:rsidRPr="006537F4">
        <w:rPr>
          <w:rFonts w:eastAsia="Arial" w:cs="Arial"/>
          <w:b/>
          <w:bCs/>
          <w:spacing w:val="-2"/>
          <w:sz w:val="24"/>
          <w:szCs w:val="24"/>
          <w:u w:val="thick" w:color="000000"/>
        </w:rPr>
        <w:t xml:space="preserve"> </w:t>
      </w:r>
      <w:r w:rsidRPr="006537F4">
        <w:rPr>
          <w:rFonts w:eastAsia="Arial" w:cs="Arial"/>
          <w:b/>
          <w:bCs/>
          <w:spacing w:val="-1"/>
          <w:sz w:val="24"/>
          <w:szCs w:val="24"/>
          <w:u w:val="thick" w:color="000000"/>
        </w:rPr>
        <w:t>Budget,</w:t>
      </w:r>
      <w:r w:rsidRPr="006537F4">
        <w:rPr>
          <w:rFonts w:eastAsia="Arial" w:cs="Arial"/>
          <w:b/>
          <w:bCs/>
          <w:spacing w:val="-3"/>
          <w:sz w:val="24"/>
          <w:szCs w:val="24"/>
          <w:u w:val="thick" w:color="000000"/>
        </w:rPr>
        <w:t xml:space="preserve"> </w:t>
      </w:r>
      <w:r w:rsidRPr="00F76BD7">
        <w:rPr>
          <w:rFonts w:eastAsia="Arial" w:cs="Arial"/>
          <w:b/>
          <w:bCs/>
          <w:spacing w:val="-1"/>
          <w:sz w:val="24"/>
          <w:szCs w:val="24"/>
          <w:u w:val="thick" w:color="000000"/>
        </w:rPr>
        <w:t>which may be</w:t>
      </w:r>
      <w:r w:rsidRPr="006537F4">
        <w:rPr>
          <w:rFonts w:eastAsia="Arial" w:cs="Arial"/>
          <w:b/>
          <w:bCs/>
          <w:sz w:val="24"/>
          <w:szCs w:val="24"/>
          <w:u w:val="thick" w:color="000000"/>
        </w:rPr>
        <w:t xml:space="preserve"> </w:t>
      </w:r>
      <w:r w:rsidRPr="006537F4">
        <w:rPr>
          <w:rFonts w:eastAsia="Arial" w:cs="Arial"/>
          <w:b/>
          <w:bCs/>
          <w:spacing w:val="-1"/>
          <w:sz w:val="24"/>
          <w:szCs w:val="24"/>
          <w:u w:val="thick" w:color="000000"/>
        </w:rPr>
        <w:t>compatible</w:t>
      </w:r>
      <w:r w:rsidRPr="006537F4">
        <w:rPr>
          <w:rFonts w:eastAsia="Arial" w:cs="Arial"/>
          <w:b/>
          <w:bCs/>
          <w:spacing w:val="-5"/>
          <w:sz w:val="24"/>
          <w:szCs w:val="24"/>
          <w:u w:val="thick" w:color="000000"/>
        </w:rPr>
        <w:t xml:space="preserve"> </w:t>
      </w:r>
      <w:r w:rsidRPr="006537F4">
        <w:rPr>
          <w:rFonts w:eastAsia="Arial" w:cs="Arial"/>
          <w:b/>
          <w:bCs/>
          <w:sz w:val="24"/>
          <w:szCs w:val="24"/>
          <w:u w:val="thick" w:color="000000"/>
        </w:rPr>
        <w:t>with</w:t>
      </w:r>
      <w:r w:rsidRPr="006537F4">
        <w:rPr>
          <w:rFonts w:eastAsia="Arial" w:cs="Arial"/>
          <w:b/>
          <w:bCs/>
          <w:spacing w:val="-1"/>
          <w:sz w:val="24"/>
          <w:szCs w:val="24"/>
          <w:u w:val="thick" w:color="000000"/>
        </w:rPr>
        <w:t xml:space="preserve"> </w:t>
      </w:r>
      <w:r w:rsidRPr="006537F4">
        <w:rPr>
          <w:rFonts w:eastAsia="Arial" w:cs="Arial"/>
          <w:b/>
          <w:bCs/>
          <w:i/>
          <w:spacing w:val="-1"/>
          <w:sz w:val="24"/>
          <w:szCs w:val="24"/>
          <w:u w:val="thick" w:color="000000"/>
        </w:rPr>
        <w:t>Microsoft</w:t>
      </w:r>
      <w:r w:rsidRPr="006537F4">
        <w:rPr>
          <w:rFonts w:eastAsia="Arial" w:cs="Arial"/>
          <w:b/>
          <w:bCs/>
          <w:i/>
          <w:spacing w:val="-3"/>
          <w:sz w:val="24"/>
          <w:szCs w:val="24"/>
          <w:u w:val="thick" w:color="000000"/>
        </w:rPr>
        <w:t xml:space="preserve"> </w:t>
      </w:r>
      <w:r w:rsidRPr="006537F4">
        <w:rPr>
          <w:rFonts w:eastAsia="Arial" w:cs="Arial"/>
          <w:b/>
          <w:bCs/>
          <w:i/>
          <w:spacing w:val="-1"/>
          <w:sz w:val="24"/>
          <w:szCs w:val="24"/>
          <w:u w:val="thick" w:color="000000"/>
        </w:rPr>
        <w:t>Office</w:t>
      </w:r>
      <w:r w:rsidRPr="006537F4">
        <w:rPr>
          <w:rFonts w:eastAsia="Arial" w:cs="Arial"/>
          <w:b/>
          <w:bCs/>
          <w:i/>
          <w:spacing w:val="-3"/>
          <w:sz w:val="24"/>
          <w:szCs w:val="24"/>
          <w:u w:val="thick" w:color="000000"/>
        </w:rPr>
        <w:t xml:space="preserve"> </w:t>
      </w:r>
      <w:r w:rsidRPr="006537F4">
        <w:rPr>
          <w:rFonts w:eastAsia="Arial" w:cs="Arial"/>
          <w:b/>
          <w:bCs/>
          <w:i/>
          <w:spacing w:val="-1"/>
          <w:sz w:val="24"/>
          <w:szCs w:val="24"/>
          <w:u w:val="thick" w:color="000000"/>
        </w:rPr>
        <w:t>Excel</w:t>
      </w:r>
      <w:r w:rsidRPr="006537F4">
        <w:rPr>
          <w:rFonts w:eastAsia="Arial" w:cs="Arial"/>
          <w:b/>
          <w:bCs/>
          <w:spacing w:val="-1"/>
          <w:sz w:val="24"/>
          <w:szCs w:val="24"/>
          <w:u w:val="thick" w:color="000000"/>
        </w:rPr>
        <w:t>.</w:t>
      </w:r>
      <w:r>
        <w:rPr>
          <w:rFonts w:eastAsia="Arial" w:cs="Arial"/>
          <w:b/>
          <w:bCs/>
          <w:sz w:val="24"/>
          <w:szCs w:val="24"/>
        </w:rPr>
        <w:t xml:space="preserve">   </w:t>
      </w:r>
      <w:r>
        <w:rPr>
          <w:rFonts w:eastAsia="Arial" w:cs="Arial"/>
          <w:sz w:val="24"/>
          <w:szCs w:val="24"/>
        </w:rPr>
        <w:t>T</w:t>
      </w:r>
      <w:r w:rsidRPr="006537F4">
        <w:rPr>
          <w:rFonts w:eastAsia="Arial" w:cs="Arial"/>
          <w:sz w:val="24"/>
          <w:szCs w:val="24"/>
        </w:rPr>
        <w:t xml:space="preserve">he </w:t>
      </w:r>
      <w:r w:rsidRPr="006537F4">
        <w:rPr>
          <w:rFonts w:eastAsia="Arial" w:cs="Arial"/>
          <w:spacing w:val="-1"/>
          <w:sz w:val="24"/>
          <w:szCs w:val="24"/>
        </w:rPr>
        <w:t>required</w:t>
      </w:r>
      <w:r w:rsidRPr="006537F4">
        <w:rPr>
          <w:rFonts w:eastAsia="Arial" w:cs="Arial"/>
          <w:spacing w:val="51"/>
          <w:sz w:val="24"/>
          <w:szCs w:val="24"/>
        </w:rPr>
        <w:t xml:space="preserve"> </w:t>
      </w:r>
      <w:r w:rsidRPr="006537F4">
        <w:rPr>
          <w:rFonts w:eastAsia="Arial" w:cs="Arial"/>
          <w:spacing w:val="-1"/>
          <w:sz w:val="24"/>
          <w:szCs w:val="24"/>
        </w:rPr>
        <w:t>Appendices</w:t>
      </w:r>
      <w:r w:rsidRPr="006537F4">
        <w:rPr>
          <w:rFonts w:eastAsia="Arial" w:cs="Arial"/>
          <w:sz w:val="24"/>
          <w:szCs w:val="24"/>
        </w:rPr>
        <w:t xml:space="preserve"> and </w:t>
      </w:r>
      <w:r w:rsidRPr="006537F4">
        <w:rPr>
          <w:rFonts w:eastAsia="Arial" w:cs="Arial"/>
          <w:spacing w:val="-1"/>
          <w:sz w:val="24"/>
          <w:szCs w:val="24"/>
        </w:rPr>
        <w:t>Forms</w:t>
      </w:r>
      <w:r w:rsidRPr="006537F4">
        <w:rPr>
          <w:rFonts w:eastAsia="Arial" w:cs="Arial"/>
          <w:spacing w:val="-2"/>
          <w:sz w:val="24"/>
          <w:szCs w:val="24"/>
        </w:rPr>
        <w:t xml:space="preserve"> </w:t>
      </w:r>
      <w:r w:rsidRPr="006537F4">
        <w:rPr>
          <w:rFonts w:eastAsia="Arial" w:cs="Arial"/>
          <w:spacing w:val="-1"/>
          <w:sz w:val="24"/>
          <w:szCs w:val="24"/>
        </w:rPr>
        <w:t>identified</w:t>
      </w:r>
      <w:r w:rsidRPr="006537F4">
        <w:rPr>
          <w:rFonts w:eastAsia="Arial" w:cs="Arial"/>
          <w:sz w:val="24"/>
          <w:szCs w:val="24"/>
        </w:rPr>
        <w:t xml:space="preserve"> </w:t>
      </w:r>
      <w:r w:rsidRPr="006537F4">
        <w:rPr>
          <w:rFonts w:eastAsia="Arial" w:cs="Arial"/>
          <w:spacing w:val="-1"/>
          <w:sz w:val="24"/>
          <w:szCs w:val="24"/>
        </w:rPr>
        <w:t>in</w:t>
      </w:r>
      <w:r w:rsidRPr="006537F4">
        <w:rPr>
          <w:rFonts w:eastAsia="Arial" w:cs="Arial"/>
          <w:sz w:val="24"/>
          <w:szCs w:val="24"/>
        </w:rPr>
        <w:t xml:space="preserve"> </w:t>
      </w:r>
      <w:r w:rsidRPr="006537F4">
        <w:rPr>
          <w:rFonts w:eastAsia="Arial" w:cs="Arial"/>
          <w:spacing w:val="-1"/>
          <w:sz w:val="24"/>
          <w:szCs w:val="24"/>
        </w:rPr>
        <w:t>Section</w:t>
      </w:r>
      <w:r w:rsidRPr="006537F4">
        <w:rPr>
          <w:rFonts w:eastAsia="Arial" w:cs="Arial"/>
          <w:sz w:val="24"/>
          <w:szCs w:val="24"/>
        </w:rPr>
        <w:t xml:space="preserve"> IV </w:t>
      </w:r>
      <w:r w:rsidRPr="006537F4">
        <w:rPr>
          <w:rFonts w:eastAsia="Arial" w:cs="Arial"/>
          <w:spacing w:val="-1"/>
          <w:sz w:val="24"/>
          <w:szCs w:val="24"/>
        </w:rPr>
        <w:t>may</w:t>
      </w:r>
      <w:r w:rsidRPr="006537F4">
        <w:rPr>
          <w:rFonts w:eastAsia="Arial" w:cs="Arial"/>
          <w:spacing w:val="-2"/>
          <w:sz w:val="24"/>
          <w:szCs w:val="24"/>
        </w:rPr>
        <w:t xml:space="preserve"> </w:t>
      </w:r>
      <w:r w:rsidRPr="006537F4">
        <w:rPr>
          <w:rFonts w:eastAsia="Arial" w:cs="Arial"/>
          <w:sz w:val="24"/>
          <w:szCs w:val="24"/>
        </w:rPr>
        <w:t xml:space="preserve">be </w:t>
      </w:r>
      <w:r w:rsidRPr="006537F4">
        <w:rPr>
          <w:rFonts w:eastAsia="Arial" w:cs="Arial"/>
          <w:spacing w:val="-1"/>
          <w:sz w:val="24"/>
          <w:szCs w:val="24"/>
        </w:rPr>
        <w:t>scanned</w:t>
      </w:r>
      <w:r w:rsidRPr="006537F4">
        <w:rPr>
          <w:rFonts w:eastAsia="Arial" w:cs="Arial"/>
          <w:sz w:val="24"/>
          <w:szCs w:val="24"/>
        </w:rPr>
        <w:t xml:space="preserve"> and</w:t>
      </w:r>
      <w:r w:rsidRPr="006537F4">
        <w:rPr>
          <w:rFonts w:eastAsia="Arial" w:cs="Arial"/>
          <w:spacing w:val="-2"/>
          <w:sz w:val="24"/>
          <w:szCs w:val="24"/>
        </w:rPr>
        <w:t xml:space="preserve"> </w:t>
      </w:r>
      <w:r w:rsidRPr="006537F4">
        <w:rPr>
          <w:rFonts w:eastAsia="Arial" w:cs="Arial"/>
          <w:spacing w:val="-1"/>
          <w:sz w:val="24"/>
          <w:szCs w:val="24"/>
        </w:rPr>
        <w:t>submitted</w:t>
      </w:r>
      <w:r w:rsidRPr="006537F4">
        <w:rPr>
          <w:rFonts w:eastAsia="Arial" w:cs="Arial"/>
          <w:spacing w:val="-2"/>
          <w:sz w:val="24"/>
          <w:szCs w:val="24"/>
        </w:rPr>
        <w:t xml:space="preserve"> </w:t>
      </w:r>
      <w:r w:rsidRPr="006537F4">
        <w:rPr>
          <w:rFonts w:eastAsia="Arial" w:cs="Arial"/>
          <w:spacing w:val="-1"/>
          <w:sz w:val="24"/>
          <w:szCs w:val="24"/>
        </w:rPr>
        <w:t>in</w:t>
      </w:r>
      <w:r w:rsidRPr="006537F4">
        <w:rPr>
          <w:rFonts w:eastAsia="Arial" w:cs="Arial"/>
          <w:spacing w:val="45"/>
          <w:sz w:val="24"/>
          <w:szCs w:val="24"/>
        </w:rPr>
        <w:t xml:space="preserve"> </w:t>
      </w:r>
      <w:r w:rsidRPr="006537F4">
        <w:rPr>
          <w:rFonts w:eastAsia="Arial" w:cs="Arial"/>
          <w:spacing w:val="-1"/>
          <w:sz w:val="24"/>
          <w:szCs w:val="24"/>
        </w:rPr>
        <w:t>Portable</w:t>
      </w:r>
      <w:r w:rsidRPr="006537F4">
        <w:rPr>
          <w:rFonts w:eastAsia="Arial" w:cs="Arial"/>
          <w:sz w:val="24"/>
          <w:szCs w:val="24"/>
        </w:rPr>
        <w:t xml:space="preserve"> </w:t>
      </w:r>
      <w:r w:rsidRPr="006537F4">
        <w:rPr>
          <w:rFonts w:eastAsia="Arial" w:cs="Arial"/>
          <w:spacing w:val="-1"/>
          <w:sz w:val="24"/>
          <w:szCs w:val="24"/>
        </w:rPr>
        <w:t xml:space="preserve">Document Format (PDF) </w:t>
      </w:r>
      <w:r w:rsidRPr="006537F4">
        <w:rPr>
          <w:rFonts w:eastAsia="Arial" w:cs="Arial"/>
          <w:sz w:val="24"/>
          <w:szCs w:val="24"/>
        </w:rPr>
        <w:t>or</w:t>
      </w:r>
      <w:r w:rsidRPr="006537F4">
        <w:rPr>
          <w:rFonts w:eastAsia="Arial" w:cs="Arial"/>
          <w:spacing w:val="-1"/>
          <w:sz w:val="24"/>
          <w:szCs w:val="24"/>
        </w:rPr>
        <w:t xml:space="preserve"> similar</w:t>
      </w:r>
      <w:r w:rsidRPr="006537F4">
        <w:rPr>
          <w:rFonts w:eastAsia="Arial" w:cs="Arial"/>
          <w:spacing w:val="-4"/>
          <w:sz w:val="24"/>
          <w:szCs w:val="24"/>
        </w:rPr>
        <w:t xml:space="preserve"> </w:t>
      </w:r>
      <w:r w:rsidRPr="006537F4">
        <w:rPr>
          <w:rFonts w:eastAsia="Arial" w:cs="Arial"/>
          <w:spacing w:val="-1"/>
          <w:sz w:val="24"/>
          <w:szCs w:val="24"/>
        </w:rPr>
        <w:t>file</w:t>
      </w:r>
      <w:r w:rsidRPr="006537F4">
        <w:rPr>
          <w:rFonts w:eastAsia="Arial" w:cs="Arial"/>
          <w:spacing w:val="-2"/>
          <w:sz w:val="24"/>
          <w:szCs w:val="24"/>
        </w:rPr>
        <w:t xml:space="preserve"> </w:t>
      </w:r>
      <w:r w:rsidRPr="006537F4">
        <w:rPr>
          <w:rFonts w:eastAsia="Arial" w:cs="Arial"/>
          <w:spacing w:val="-1"/>
          <w:sz w:val="24"/>
          <w:szCs w:val="24"/>
        </w:rPr>
        <w:t>format.</w:t>
      </w:r>
    </w:p>
    <w:p w:rsidR="00EF7886" w:rsidRPr="00EF7886" w:rsidRDefault="00EF7886" w:rsidP="00EF7886">
      <w:pPr>
        <w:rPr>
          <w:b/>
        </w:rPr>
      </w:pPr>
    </w:p>
    <w:p w:rsidR="00FA588D" w:rsidRDefault="00FA588D" w:rsidP="00FA588D">
      <w:pPr>
        <w:pStyle w:val="ListParagraph"/>
        <w:numPr>
          <w:ilvl w:val="0"/>
          <w:numId w:val="2"/>
        </w:numPr>
        <w:ind w:left="360"/>
      </w:pPr>
      <w:r w:rsidRPr="00FA588D">
        <w:t>Is it possible to extend all deadlines by two weeks?</w:t>
      </w:r>
    </w:p>
    <w:p w:rsidR="00FA588D" w:rsidRDefault="00FA588D" w:rsidP="00FA588D">
      <w:pPr>
        <w:pStyle w:val="ListParagraph"/>
        <w:numPr>
          <w:ilvl w:val="1"/>
          <w:numId w:val="2"/>
        </w:numPr>
      </w:pPr>
      <w:r>
        <w:t xml:space="preserve">Response: Yes, the deadlines were extended by 2 weeks and </w:t>
      </w:r>
      <w:r w:rsidR="00EF7886">
        <w:t>the RFP was reposted.  The proposals are due on April 15, 2020, electronically.</w:t>
      </w:r>
    </w:p>
    <w:p w:rsidR="00097DFE" w:rsidRPr="00FA588D" w:rsidRDefault="00097DFE" w:rsidP="00097DFE">
      <w:pPr>
        <w:pStyle w:val="ListParagraph"/>
        <w:ind w:left="1440"/>
      </w:pPr>
    </w:p>
    <w:p w:rsidR="00D31DF1" w:rsidRDefault="00D31DF1" w:rsidP="00D31DF1">
      <w:pPr>
        <w:pStyle w:val="ListParagraph"/>
        <w:numPr>
          <w:ilvl w:val="0"/>
          <w:numId w:val="2"/>
        </w:numPr>
        <w:ind w:left="360"/>
        <w:jc w:val="both"/>
      </w:pPr>
      <w:r>
        <w:t>Are only nonprofit entities eligible to be respondents?  The RFP defines “contractor” and “respondent” separately on Page 4, but then uses them interchangeably throughout the document.  The definition of “respondent” is limited to nonprofit entities, but then of course the ranking process favors women/minority-owned businesses, which certainly seems to indicate that for-profit contractors are eligible.  Could we clarify this?</w:t>
      </w:r>
    </w:p>
    <w:p w:rsidR="00E02025" w:rsidRDefault="00D31DF1" w:rsidP="00D31DF1">
      <w:pPr>
        <w:pStyle w:val="ListParagraph"/>
        <w:numPr>
          <w:ilvl w:val="1"/>
          <w:numId w:val="2"/>
        </w:numPr>
        <w:jc w:val="both"/>
      </w:pPr>
      <w:r>
        <w:t>Response: Thank you for bringing this to our attention.  Yes, for profit entities are eligible to apply. The “respondent”</w:t>
      </w:r>
      <w:r w:rsidR="00971672">
        <w:t xml:space="preserve"> definition was</w:t>
      </w:r>
      <w:r>
        <w:t xml:space="preserve"> updated</w:t>
      </w:r>
      <w:r w:rsidR="00971672">
        <w:t xml:space="preserve"> to include for-profit entities and </w:t>
      </w:r>
    </w:p>
    <w:p w:rsidR="00D31DF1" w:rsidRDefault="00971672" w:rsidP="00E02025">
      <w:pPr>
        <w:pStyle w:val="ListParagraph"/>
        <w:ind w:left="1440"/>
        <w:jc w:val="both"/>
      </w:pPr>
      <w:r>
        <w:t>reposted.</w:t>
      </w:r>
    </w:p>
    <w:p w:rsidR="00EF7886" w:rsidRDefault="00EF7886" w:rsidP="00E02025">
      <w:pPr>
        <w:pStyle w:val="ListParagraph"/>
        <w:ind w:left="1440"/>
        <w:jc w:val="both"/>
      </w:pPr>
    </w:p>
    <w:p w:rsidR="00EF7886" w:rsidRDefault="00EF7886" w:rsidP="00EF7886">
      <w:pPr>
        <w:jc w:val="both"/>
      </w:pPr>
    </w:p>
    <w:p w:rsidR="00E02025" w:rsidRPr="0038770B" w:rsidRDefault="00E02025" w:rsidP="00EF7886">
      <w:pPr>
        <w:pStyle w:val="ListParagraph"/>
        <w:ind w:left="360"/>
        <w:jc w:val="both"/>
      </w:pPr>
    </w:p>
    <w:sectPr w:rsidR="00E02025" w:rsidRPr="0038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FE8"/>
    <w:multiLevelType w:val="hybridMultilevel"/>
    <w:tmpl w:val="2DC07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92AFC"/>
    <w:multiLevelType w:val="multilevel"/>
    <w:tmpl w:val="A1D03E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234230"/>
    <w:multiLevelType w:val="hybridMultilevel"/>
    <w:tmpl w:val="DE38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50C217E"/>
    <w:multiLevelType w:val="hybridMultilevel"/>
    <w:tmpl w:val="2BA0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720BE"/>
    <w:multiLevelType w:val="hybridMultilevel"/>
    <w:tmpl w:val="84B0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DE3C71"/>
    <w:multiLevelType w:val="hybridMultilevel"/>
    <w:tmpl w:val="06E8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F6066"/>
    <w:multiLevelType w:val="hybridMultilevel"/>
    <w:tmpl w:val="4EB29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33C3B"/>
    <w:multiLevelType w:val="hybridMultilevel"/>
    <w:tmpl w:val="A9F6C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0B"/>
    <w:rsid w:val="000912B1"/>
    <w:rsid w:val="00097DFE"/>
    <w:rsid w:val="00122CC8"/>
    <w:rsid w:val="002D0828"/>
    <w:rsid w:val="0038770B"/>
    <w:rsid w:val="00683EA2"/>
    <w:rsid w:val="007F0524"/>
    <w:rsid w:val="00971672"/>
    <w:rsid w:val="009A66BE"/>
    <w:rsid w:val="00CB5ABB"/>
    <w:rsid w:val="00D268A6"/>
    <w:rsid w:val="00D31DF1"/>
    <w:rsid w:val="00D8532A"/>
    <w:rsid w:val="00E02025"/>
    <w:rsid w:val="00E264B0"/>
    <w:rsid w:val="00E5223D"/>
    <w:rsid w:val="00EF7886"/>
    <w:rsid w:val="00F863BB"/>
    <w:rsid w:val="00FA588D"/>
    <w:rsid w:val="00FF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DF7F"/>
  <w15:chartTrackingRefBased/>
  <w15:docId w15:val="{A0E4CCBA-B4F7-47AE-865E-10552EC7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70B"/>
    <w:pPr>
      <w:ind w:left="720"/>
      <w:contextualSpacing/>
    </w:pPr>
  </w:style>
  <w:style w:type="character" w:styleId="Hyperlink">
    <w:name w:val="Hyperlink"/>
    <w:basedOn w:val="DefaultParagraphFont"/>
    <w:uiPriority w:val="99"/>
    <w:unhideWhenUsed/>
    <w:rsid w:val="00EF7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6408">
      <w:bodyDiv w:val="1"/>
      <w:marLeft w:val="0"/>
      <w:marRight w:val="0"/>
      <w:marTop w:val="0"/>
      <w:marBottom w:val="0"/>
      <w:divBdr>
        <w:top w:val="none" w:sz="0" w:space="0" w:color="auto"/>
        <w:left w:val="none" w:sz="0" w:space="0" w:color="auto"/>
        <w:bottom w:val="none" w:sz="0" w:space="0" w:color="auto"/>
        <w:right w:val="none" w:sz="0" w:space="0" w:color="auto"/>
      </w:divBdr>
    </w:div>
    <w:div w:id="811023711">
      <w:bodyDiv w:val="1"/>
      <w:marLeft w:val="0"/>
      <w:marRight w:val="0"/>
      <w:marTop w:val="0"/>
      <w:marBottom w:val="0"/>
      <w:divBdr>
        <w:top w:val="none" w:sz="0" w:space="0" w:color="auto"/>
        <w:left w:val="none" w:sz="0" w:space="0" w:color="auto"/>
        <w:bottom w:val="none" w:sz="0" w:space="0" w:color="auto"/>
        <w:right w:val="none" w:sz="0" w:space="0" w:color="auto"/>
      </w:divBdr>
    </w:div>
    <w:div w:id="1203247974">
      <w:bodyDiv w:val="1"/>
      <w:marLeft w:val="0"/>
      <w:marRight w:val="0"/>
      <w:marTop w:val="0"/>
      <w:marBottom w:val="0"/>
      <w:divBdr>
        <w:top w:val="none" w:sz="0" w:space="0" w:color="auto"/>
        <w:left w:val="none" w:sz="0" w:space="0" w:color="auto"/>
        <w:bottom w:val="none" w:sz="0" w:space="0" w:color="auto"/>
        <w:right w:val="none" w:sz="0" w:space="0" w:color="auto"/>
      </w:divBdr>
    </w:div>
    <w:div w:id="1358504593">
      <w:bodyDiv w:val="1"/>
      <w:marLeft w:val="0"/>
      <w:marRight w:val="0"/>
      <w:marTop w:val="0"/>
      <w:marBottom w:val="0"/>
      <w:divBdr>
        <w:top w:val="none" w:sz="0" w:space="0" w:color="auto"/>
        <w:left w:val="none" w:sz="0" w:space="0" w:color="auto"/>
        <w:bottom w:val="none" w:sz="0" w:space="0" w:color="auto"/>
        <w:right w:val="none" w:sz="0" w:space="0" w:color="auto"/>
      </w:divBdr>
    </w:div>
    <w:div w:id="15644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Santoro@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Laura</dc:creator>
  <cp:keywords/>
  <dc:description/>
  <cp:lastModifiedBy>Watson, Laura</cp:lastModifiedBy>
  <cp:revision>3</cp:revision>
  <dcterms:created xsi:type="dcterms:W3CDTF">2020-03-23T16:58:00Z</dcterms:created>
  <dcterms:modified xsi:type="dcterms:W3CDTF">2020-03-23T17:11:00Z</dcterms:modified>
</cp:coreProperties>
</file>