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9"/>
        <w:gridCol w:w="2621"/>
      </w:tblGrid>
      <w:tr w:rsidR="00865015" w:rsidRPr="00865015" w:rsidTr="00865015">
        <w:trPr>
          <w:gridAfter w:val="1"/>
          <w:wAfter w:w="4680" w:type="dxa"/>
          <w:tblCellSpacing w:w="0" w:type="dxa"/>
        </w:trPr>
        <w:tc>
          <w:tcPr>
            <w:tcW w:w="3600" w:type="pct"/>
            <w:shd w:val="clear" w:color="auto" w:fill="FFFFFF"/>
            <w:hideMark/>
          </w:tcPr>
          <w:p w:rsidR="00865015" w:rsidRPr="00865015" w:rsidRDefault="00865015" w:rsidP="00865015">
            <w:pPr>
              <w:spacing w:before="100" w:beforeAutospacing="1" w:after="100" w:afterAutospacing="1" w:line="240" w:lineRule="auto"/>
              <w:rPr>
                <w:rFonts w:ascii="Verdana" w:eastAsia="Times New Roman" w:hAnsi="Verdana" w:cs="Times New Roman"/>
                <w:b/>
                <w:bCs/>
                <w:sz w:val="15"/>
                <w:szCs w:val="15"/>
              </w:rPr>
            </w:pPr>
            <w:bookmarkStart w:id="0" w:name="_GoBack"/>
            <w:r w:rsidRPr="00865015">
              <w:rPr>
                <w:rFonts w:ascii="Verdana" w:eastAsia="Times New Roman" w:hAnsi="Verdana" w:cs="Times New Roman"/>
                <w:b/>
                <w:bCs/>
                <w:caps/>
                <w:color w:val="000080"/>
                <w:sz w:val="20"/>
                <w:szCs w:val="20"/>
              </w:rPr>
              <w:t>- SPECIAL NOTICE -</w:t>
            </w:r>
          </w:p>
          <w:p w:rsidR="00865015" w:rsidRPr="00865015" w:rsidRDefault="00865015" w:rsidP="00865015">
            <w:pPr>
              <w:spacing w:before="100" w:beforeAutospacing="1" w:after="100" w:afterAutospacing="1" w:line="240" w:lineRule="auto"/>
              <w:rPr>
                <w:rFonts w:ascii="Cambria" w:eastAsia="Times New Roman" w:hAnsi="Cambria" w:cs="Times New Roman"/>
                <w:sz w:val="15"/>
                <w:szCs w:val="15"/>
              </w:rPr>
            </w:pPr>
            <w:r w:rsidRPr="00865015">
              <w:rPr>
                <w:rFonts w:ascii="Cambria" w:eastAsia="Times New Roman" w:hAnsi="Cambria" w:cs="Times New Roman"/>
                <w:b/>
                <w:bCs/>
                <w:sz w:val="24"/>
                <w:szCs w:val="24"/>
              </w:rPr>
              <w:t xml:space="preserve">To All State and Political </w:t>
            </w:r>
            <w:proofErr w:type="spellStart"/>
            <w:r w:rsidRPr="00865015">
              <w:rPr>
                <w:rFonts w:ascii="Cambria" w:eastAsia="Times New Roman" w:hAnsi="Cambria" w:cs="Times New Roman"/>
                <w:b/>
                <w:bCs/>
                <w:sz w:val="24"/>
                <w:szCs w:val="24"/>
              </w:rPr>
              <w:t>Subdivisions,Their</w:t>
            </w:r>
            <w:proofErr w:type="spellEnd"/>
            <w:r w:rsidRPr="00865015">
              <w:rPr>
                <w:rFonts w:ascii="Cambria" w:eastAsia="Times New Roman" w:hAnsi="Cambria" w:cs="Times New Roman"/>
                <w:b/>
                <w:bCs/>
                <w:sz w:val="24"/>
                <w:szCs w:val="24"/>
              </w:rPr>
              <w:t xml:space="preserve"> Agents, and Contractors</w:t>
            </w:r>
          </w:p>
          <w:p w:rsidR="00865015" w:rsidRPr="00865015" w:rsidRDefault="00865015" w:rsidP="00865015">
            <w:pPr>
              <w:spacing w:before="100" w:beforeAutospacing="1" w:after="100" w:afterAutospacing="1" w:line="240" w:lineRule="auto"/>
              <w:rPr>
                <w:rFonts w:ascii="Cambria" w:eastAsia="Times New Roman" w:hAnsi="Cambria" w:cs="Times New Roman"/>
                <w:sz w:val="15"/>
                <w:szCs w:val="15"/>
              </w:rPr>
            </w:pPr>
            <w:r w:rsidRPr="00865015">
              <w:rPr>
                <w:rFonts w:ascii="Cambria" w:eastAsia="Times New Roman" w:hAnsi="Cambria" w:cs="Times New Roman"/>
                <w:b/>
                <w:bCs/>
                <w:sz w:val="24"/>
                <w:szCs w:val="24"/>
              </w:rPr>
              <w:t>Connecticut General Statute 31-55a - Annual adjustments to wage rates by contractors doing state work.</w:t>
            </w:r>
          </w:p>
          <w:p w:rsidR="00865015" w:rsidRPr="00865015" w:rsidRDefault="00865015" w:rsidP="00865015">
            <w:pPr>
              <w:spacing w:before="100" w:beforeAutospacing="1" w:after="100" w:afterAutospacing="1" w:line="240" w:lineRule="auto"/>
              <w:rPr>
                <w:rFonts w:ascii="Verdana" w:eastAsia="Times New Roman" w:hAnsi="Verdana" w:cs="Times New Roman"/>
                <w:sz w:val="15"/>
                <w:szCs w:val="15"/>
              </w:rPr>
            </w:pPr>
            <w:r w:rsidRPr="00865015">
              <w:rPr>
                <w:rFonts w:ascii="Cambria" w:eastAsia="Times New Roman" w:hAnsi="Cambria" w:cs="Times New Roman"/>
                <w:i/>
                <w:iCs/>
                <w:sz w:val="24"/>
                <w:szCs w:val="24"/>
              </w:rPr>
              <w:t>Each contractor that is awarded a contract on or after October 1, 2002, for (1) the construction of a state highway or bridge that falls under the provisions of section 31-54 of the general statutes, or (2) the construction, remodeling, refinishing, refurbishing, rehabilitation, alteration or repair of any public works project that falls under the provisions of section 31-53 of the general statutes shall contact the Labor Commissioner on or before July first of each year, for the duration of such contract, to ascertain the prevailing rate of wages on an hourly basis and the amount of payment or contributions paid or payable on behalf of each mechanic, laborer or worker employed upon the work contracted to be done, and shall make any necessary adjustments to such prevailing rate of wages and such payment or contributions paid or payable on behalf of each such employee, effective each July first.</w:t>
            </w:r>
          </w:p>
        </w:tc>
      </w:tr>
      <w:bookmarkEnd w:id="0"/>
      <w:tr w:rsidR="00865015" w:rsidRPr="00865015" w:rsidTr="00865015">
        <w:trPr>
          <w:tblCellSpacing w:w="0" w:type="dxa"/>
        </w:trPr>
        <w:tc>
          <w:tcPr>
            <w:tcW w:w="5000" w:type="pct"/>
            <w:gridSpan w:val="2"/>
            <w:shd w:val="clear" w:color="auto" w:fill="FFFFFF"/>
            <w:hideMark/>
          </w:tcPr>
          <w:p w:rsidR="00865015" w:rsidRPr="00865015" w:rsidRDefault="00865015" w:rsidP="00865015">
            <w:pPr>
              <w:spacing w:after="0" w:line="240" w:lineRule="auto"/>
              <w:ind w:left="720"/>
              <w:rPr>
                <w:rFonts w:ascii="Cambria" w:eastAsia="Times New Roman" w:hAnsi="Cambria" w:cs="Times New Roman"/>
                <w:sz w:val="20"/>
                <w:szCs w:val="20"/>
              </w:rPr>
            </w:pPr>
            <w:proofErr w:type="gramStart"/>
            <w:r w:rsidRPr="00865015">
              <w:rPr>
                <w:rFonts w:ascii="Verdana" w:eastAsia="Times New Roman" w:hAnsi="Symbol" w:cs="Times New Roman"/>
                <w:sz w:val="20"/>
                <w:szCs w:val="20"/>
              </w:rPr>
              <w:t></w:t>
            </w:r>
            <w:r w:rsidRPr="00865015">
              <w:rPr>
                <w:rFonts w:ascii="Verdana" w:eastAsia="Times New Roman" w:hAnsi="Verdana" w:cs="Times New Roman"/>
                <w:sz w:val="20"/>
                <w:szCs w:val="20"/>
              </w:rPr>
              <w:t xml:space="preserve">  </w:t>
            </w:r>
            <w:r w:rsidRPr="00865015">
              <w:rPr>
                <w:rFonts w:ascii="Cambria" w:eastAsia="Times New Roman" w:hAnsi="Cambria" w:cs="Times New Roman"/>
                <w:sz w:val="24"/>
                <w:szCs w:val="24"/>
              </w:rPr>
              <w:t>The</w:t>
            </w:r>
            <w:proofErr w:type="gramEnd"/>
            <w:r w:rsidRPr="00865015">
              <w:rPr>
                <w:rFonts w:ascii="Cambria" w:eastAsia="Times New Roman" w:hAnsi="Cambria" w:cs="Times New Roman"/>
                <w:sz w:val="24"/>
                <w:szCs w:val="24"/>
              </w:rPr>
              <w:t xml:space="preserve"> prevailing wage rates applicable to any contract or subcontract awarded on or after October 1, 2002 are subject to annual adjustments each July 1st for the duration of any project which was originally advertised for bids on or after October 1, 2002.</w:t>
            </w:r>
          </w:p>
          <w:p w:rsidR="00865015" w:rsidRPr="00865015" w:rsidRDefault="00865015" w:rsidP="00865015">
            <w:pPr>
              <w:spacing w:after="0" w:line="240" w:lineRule="auto"/>
              <w:ind w:left="720"/>
              <w:rPr>
                <w:rFonts w:ascii="Cambria" w:eastAsia="Times New Roman" w:hAnsi="Cambria" w:cs="Times New Roman"/>
                <w:sz w:val="20"/>
                <w:szCs w:val="20"/>
              </w:rPr>
            </w:pPr>
            <w:r w:rsidRPr="00865015">
              <w:rPr>
                <w:rFonts w:ascii="Cambria" w:eastAsia="Times New Roman" w:hAnsi="Symbol" w:cs="Times New Roman"/>
                <w:sz w:val="20"/>
                <w:szCs w:val="20"/>
              </w:rPr>
              <w:t></w:t>
            </w:r>
            <w:r w:rsidRPr="00865015">
              <w:rPr>
                <w:rFonts w:ascii="Cambria" w:eastAsia="Times New Roman" w:hAnsi="Cambria" w:cs="Times New Roman"/>
                <w:sz w:val="20"/>
                <w:szCs w:val="20"/>
              </w:rPr>
              <w:t xml:space="preserve">  </w:t>
            </w:r>
            <w:r w:rsidRPr="00865015">
              <w:rPr>
                <w:rFonts w:ascii="Cambria" w:eastAsia="Times New Roman" w:hAnsi="Cambria" w:cs="Times New Roman"/>
                <w:sz w:val="24"/>
                <w:szCs w:val="24"/>
              </w:rPr>
              <w:t>Each contractor affected by the above requirement shall pay the annual adjusted prevailing wage rate that is in effect each July 1st, as posted by the Department of Labor.</w:t>
            </w:r>
          </w:p>
          <w:p w:rsidR="00865015" w:rsidRPr="00865015" w:rsidRDefault="00865015" w:rsidP="00865015">
            <w:pPr>
              <w:spacing w:after="0" w:line="240" w:lineRule="auto"/>
              <w:ind w:left="720"/>
              <w:rPr>
                <w:rFonts w:ascii="Cambria" w:eastAsia="Times New Roman" w:hAnsi="Cambria" w:cs="Times New Roman"/>
                <w:sz w:val="20"/>
                <w:szCs w:val="20"/>
              </w:rPr>
            </w:pPr>
            <w:proofErr w:type="gramStart"/>
            <w:r w:rsidRPr="00865015">
              <w:rPr>
                <w:rFonts w:ascii="Cambria" w:eastAsia="Times New Roman" w:hAnsi="Symbol" w:cs="Times New Roman"/>
                <w:sz w:val="20"/>
                <w:szCs w:val="20"/>
              </w:rPr>
              <w:t></w:t>
            </w:r>
            <w:r w:rsidRPr="00865015">
              <w:rPr>
                <w:rFonts w:ascii="Cambria" w:eastAsia="Times New Roman" w:hAnsi="Cambria" w:cs="Times New Roman"/>
                <w:sz w:val="20"/>
                <w:szCs w:val="20"/>
              </w:rPr>
              <w:t xml:space="preserve">  </w:t>
            </w:r>
            <w:r w:rsidRPr="00865015">
              <w:rPr>
                <w:rFonts w:ascii="Cambria" w:eastAsia="Times New Roman" w:hAnsi="Cambria" w:cs="Times New Roman"/>
                <w:sz w:val="24"/>
                <w:szCs w:val="24"/>
              </w:rPr>
              <w:t>It</w:t>
            </w:r>
            <w:proofErr w:type="gramEnd"/>
            <w:r w:rsidRPr="00865015">
              <w:rPr>
                <w:rFonts w:ascii="Cambria" w:eastAsia="Times New Roman" w:hAnsi="Cambria" w:cs="Times New Roman"/>
                <w:sz w:val="24"/>
                <w:szCs w:val="24"/>
              </w:rPr>
              <w:t xml:space="preserve"> is the</w:t>
            </w:r>
            <w:r w:rsidRPr="00865015">
              <w:rPr>
                <w:rFonts w:ascii="Cambria" w:eastAsia="Times New Roman" w:hAnsi="Cambria" w:cs="Times New Roman"/>
                <w:b/>
                <w:bCs/>
                <w:i/>
                <w:iCs/>
                <w:sz w:val="24"/>
                <w:szCs w:val="24"/>
              </w:rPr>
              <w:t> contractor’s</w:t>
            </w:r>
            <w:r w:rsidRPr="00865015">
              <w:rPr>
                <w:rFonts w:ascii="Cambria" w:eastAsia="Times New Roman" w:hAnsi="Cambria" w:cs="Times New Roman"/>
                <w:b/>
                <w:bCs/>
                <w:sz w:val="24"/>
                <w:szCs w:val="24"/>
              </w:rPr>
              <w:t> </w:t>
            </w:r>
            <w:r w:rsidRPr="00865015">
              <w:rPr>
                <w:rFonts w:ascii="Cambria" w:eastAsia="Times New Roman" w:hAnsi="Cambria" w:cs="Times New Roman"/>
                <w:sz w:val="24"/>
                <w:szCs w:val="24"/>
              </w:rPr>
              <w:t>responsibility to obtain the annual adjusted prevailing wage rate increases directly from the Department of Labor’s Web Site. The annual adjustments will be posted on the Department of Labor Web page: </w:t>
            </w:r>
            <w:hyperlink r:id="rId5" w:history="1">
              <w:r w:rsidRPr="00865015">
                <w:rPr>
                  <w:rFonts w:ascii="Verdana" w:eastAsia="Times New Roman" w:hAnsi="Verdana" w:cs="Times New Roman"/>
                  <w:color w:val="00387A"/>
                  <w:sz w:val="20"/>
                  <w:szCs w:val="20"/>
                  <w:u w:val="single"/>
                </w:rPr>
                <w:t>www.ctdol.state.ct.us</w:t>
              </w:r>
            </w:hyperlink>
            <w:r w:rsidRPr="00865015">
              <w:rPr>
                <w:rFonts w:ascii="Cambria" w:eastAsia="Times New Roman" w:hAnsi="Cambria" w:cs="Times New Roman"/>
                <w:sz w:val="24"/>
                <w:szCs w:val="24"/>
              </w:rPr>
              <w:t>. For those without internet access, please contact the division listed below.</w:t>
            </w:r>
          </w:p>
          <w:p w:rsidR="00865015" w:rsidRPr="00865015" w:rsidRDefault="00865015" w:rsidP="00865015">
            <w:pPr>
              <w:spacing w:after="0" w:line="240" w:lineRule="auto"/>
              <w:ind w:left="720"/>
              <w:rPr>
                <w:rFonts w:ascii="Verdana" w:eastAsia="Times New Roman" w:hAnsi="Verdana" w:cs="Times New Roman"/>
                <w:sz w:val="20"/>
                <w:szCs w:val="20"/>
              </w:rPr>
            </w:pPr>
            <w:proofErr w:type="gramStart"/>
            <w:r w:rsidRPr="00865015">
              <w:rPr>
                <w:rFonts w:ascii="Cambria" w:eastAsia="Times New Roman" w:hAnsi="Symbol" w:cs="Times New Roman"/>
                <w:sz w:val="20"/>
                <w:szCs w:val="20"/>
              </w:rPr>
              <w:t></w:t>
            </w:r>
            <w:r w:rsidRPr="00865015">
              <w:rPr>
                <w:rFonts w:ascii="Cambria" w:eastAsia="Times New Roman" w:hAnsi="Cambria" w:cs="Times New Roman"/>
                <w:sz w:val="20"/>
                <w:szCs w:val="20"/>
              </w:rPr>
              <w:t xml:space="preserve">  </w:t>
            </w:r>
            <w:r w:rsidRPr="00865015">
              <w:rPr>
                <w:rFonts w:ascii="Cambria" w:eastAsia="Times New Roman" w:hAnsi="Cambria" w:cs="Times New Roman"/>
                <w:sz w:val="24"/>
                <w:szCs w:val="24"/>
              </w:rPr>
              <w:t>The</w:t>
            </w:r>
            <w:proofErr w:type="gramEnd"/>
            <w:r w:rsidRPr="00865015">
              <w:rPr>
                <w:rFonts w:ascii="Cambria" w:eastAsia="Times New Roman" w:hAnsi="Cambria" w:cs="Times New Roman"/>
                <w:sz w:val="24"/>
                <w:szCs w:val="24"/>
              </w:rPr>
              <w:t xml:space="preserve"> Department of Labor will continue to issue the initial prevailing wage rate schedule to the Contracting Agency for the project. All subsequent annual adjustments will be posted on our Web Site for contractor access.</w:t>
            </w:r>
          </w:p>
          <w:p w:rsidR="00865015" w:rsidRPr="00865015" w:rsidRDefault="00865015" w:rsidP="00865015">
            <w:pPr>
              <w:spacing w:before="100" w:beforeAutospacing="1" w:after="100" w:afterAutospacing="1" w:line="240" w:lineRule="auto"/>
              <w:rPr>
                <w:rFonts w:ascii="Verdana" w:eastAsia="Times New Roman" w:hAnsi="Verdana" w:cs="Times New Roman"/>
                <w:sz w:val="15"/>
                <w:szCs w:val="15"/>
              </w:rPr>
            </w:pPr>
            <w:r w:rsidRPr="00865015">
              <w:rPr>
                <w:rFonts w:ascii="Cambria" w:eastAsia="Times New Roman" w:hAnsi="Cambria" w:cs="Times New Roman"/>
                <w:b/>
                <w:bCs/>
                <w:sz w:val="24"/>
                <w:szCs w:val="24"/>
              </w:rPr>
              <w:t>Any questions should be directed to the Contract Compliance Unit, Wage and Workplace Standards Division, Connecticut Department of Labor, 200 Folly Brook Blvd., Wethersfield, CT 06109 at (860)263-6790.</w:t>
            </w:r>
          </w:p>
        </w:tc>
      </w:tr>
    </w:tbl>
    <w:p w:rsidR="0085575C" w:rsidRDefault="00865015"/>
    <w:sectPr w:rsidR="0085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15"/>
    <w:rsid w:val="00865015"/>
    <w:rsid w:val="008C3A1A"/>
    <w:rsid w:val="00E6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dol.state.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gayj</dc:creator>
  <cp:lastModifiedBy>gayj</cp:lastModifiedBy>
  <cp:revision>1</cp:revision>
  <dcterms:created xsi:type="dcterms:W3CDTF">2019-01-02T13:50:00Z</dcterms:created>
  <dcterms:modified xsi:type="dcterms:W3CDTF">2019-01-02T13:50:00Z</dcterms:modified>
</cp:coreProperties>
</file>