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87" w:rsidRPr="00C03B2C" w:rsidRDefault="005F4587" w:rsidP="005F4587">
      <w:pPr>
        <w:jc w:val="center"/>
        <w:rPr>
          <w:b/>
          <w:szCs w:val="24"/>
        </w:rPr>
      </w:pPr>
      <w:bookmarkStart w:id="0" w:name="_GoBack"/>
      <w:bookmarkEnd w:id="0"/>
      <w:r w:rsidRPr="00C03B2C">
        <w:rPr>
          <w:b/>
          <w:szCs w:val="24"/>
        </w:rPr>
        <w:t>Request for Proposals (RFP)</w:t>
      </w:r>
    </w:p>
    <w:p w:rsidR="00EC72D2" w:rsidRPr="00C03B2C" w:rsidRDefault="00EC72D2" w:rsidP="00EC72D2">
      <w:pPr>
        <w:ind w:left="360"/>
        <w:jc w:val="center"/>
        <w:rPr>
          <w:b/>
          <w:szCs w:val="24"/>
        </w:rPr>
      </w:pPr>
      <w:r w:rsidRPr="00C03B2C">
        <w:rPr>
          <w:b/>
          <w:szCs w:val="24"/>
        </w:rPr>
        <w:t xml:space="preserve">FY 2020 Charting the </w:t>
      </w:r>
      <w:proofErr w:type="spellStart"/>
      <w:r w:rsidRPr="00C03B2C">
        <w:rPr>
          <w:b/>
          <w:szCs w:val="24"/>
        </w:rPr>
        <w:t>LifeCourse</w:t>
      </w:r>
      <w:proofErr w:type="spellEnd"/>
      <w:r w:rsidRPr="00C03B2C">
        <w:rPr>
          <w:b/>
          <w:szCs w:val="24"/>
        </w:rPr>
        <w:t xml:space="preserve"> Family Collaboration Partnership</w:t>
      </w:r>
    </w:p>
    <w:p w:rsidR="00D32CC5" w:rsidRDefault="00C100A3" w:rsidP="00C03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C03B2C" w:rsidRPr="00C03B2C">
        <w:rPr>
          <w:rFonts w:ascii="Times New Roman" w:hAnsi="Times New Roman" w:cs="Times New Roman"/>
          <w:sz w:val="24"/>
          <w:szCs w:val="24"/>
        </w:rPr>
        <w:t>Questions and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2C" w:rsidRPr="00C03B2C" w:rsidRDefault="00C03B2C" w:rsidP="00C03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5F24" w:rsidRPr="00E05F24" w:rsidRDefault="00C100A3" w:rsidP="00C100A3">
      <w:pPr>
        <w:pStyle w:val="ListParagraph"/>
        <w:numPr>
          <w:ilvl w:val="0"/>
          <w:numId w:val="6"/>
        </w:numPr>
        <w:contextualSpacing w:val="0"/>
        <w:rPr>
          <w:color w:val="0070C0"/>
        </w:rPr>
      </w:pPr>
      <w:r>
        <w:rPr>
          <w:color w:val="000000"/>
        </w:rPr>
        <w:t xml:space="preserve">Do </w:t>
      </w:r>
      <w:r>
        <w:t>the personnel</w:t>
      </w:r>
      <w:r>
        <w:rPr>
          <w:color w:val="000000"/>
        </w:rPr>
        <w:t xml:space="preserve"> </w:t>
      </w:r>
      <w:r>
        <w:t xml:space="preserve">implementing the proposed activities </w:t>
      </w:r>
      <w:r>
        <w:rPr>
          <w:color w:val="000000"/>
        </w:rPr>
        <w:t>need to have completed DDS</w:t>
      </w:r>
      <w:r>
        <w:t>-</w:t>
      </w:r>
      <w:r>
        <w:rPr>
          <w:color w:val="000000"/>
        </w:rPr>
        <w:t>mandated trainings?</w:t>
      </w:r>
      <w:r>
        <w:rPr>
          <w:color w:val="1F497D"/>
        </w:rPr>
        <w:t xml:space="preserve"> </w:t>
      </w:r>
    </w:p>
    <w:p w:rsidR="00C100A3" w:rsidRDefault="00E05F24" w:rsidP="00E05F24">
      <w:pPr>
        <w:pStyle w:val="ListParagraph"/>
        <w:contextualSpacing w:val="0"/>
        <w:rPr>
          <w:color w:val="0070C0"/>
        </w:rPr>
      </w:pPr>
      <w:r w:rsidRPr="00E05F24">
        <w:rPr>
          <w:color w:val="0070C0"/>
        </w:rPr>
        <w:t>Answer:</w:t>
      </w:r>
      <w:r>
        <w:rPr>
          <w:color w:val="1F497D"/>
        </w:rPr>
        <w:t xml:space="preserve"> </w:t>
      </w:r>
      <w:r w:rsidR="00C100A3" w:rsidRPr="000D08F5">
        <w:rPr>
          <w:color w:val="0070C0"/>
        </w:rPr>
        <w:t xml:space="preserve">DDS mandated training is not required. Charting the </w:t>
      </w:r>
      <w:proofErr w:type="spellStart"/>
      <w:r w:rsidR="00C100A3" w:rsidRPr="000D08F5">
        <w:rPr>
          <w:color w:val="0070C0"/>
        </w:rPr>
        <w:t>LifeCourse</w:t>
      </w:r>
      <w:proofErr w:type="spellEnd"/>
      <w:r w:rsidR="00C100A3" w:rsidRPr="000D08F5">
        <w:rPr>
          <w:color w:val="0070C0"/>
        </w:rPr>
        <w:t xml:space="preserve"> Ambassadors Educational Series is required for at least 2 staff (1 administrator and 1 staff).</w:t>
      </w:r>
    </w:p>
    <w:p w:rsidR="00E05F24" w:rsidRPr="000D08F5" w:rsidRDefault="00E05F24" w:rsidP="00E05F24">
      <w:pPr>
        <w:pStyle w:val="ListParagraph"/>
        <w:contextualSpacing w:val="0"/>
        <w:rPr>
          <w:color w:val="0070C0"/>
        </w:rPr>
      </w:pPr>
    </w:p>
    <w:p w:rsidR="00E05F24" w:rsidRPr="00E05F24" w:rsidRDefault="00C100A3" w:rsidP="00C100A3">
      <w:pPr>
        <w:pStyle w:val="ListParagraph"/>
        <w:numPr>
          <w:ilvl w:val="0"/>
          <w:numId w:val="6"/>
        </w:numPr>
        <w:contextualSpacing w:val="0"/>
        <w:rPr>
          <w:color w:val="0070C0"/>
        </w:rPr>
      </w:pPr>
      <w:r>
        <w:t xml:space="preserve">Is it permissible to use a Train-the-Trainer model (i.e., </w:t>
      </w:r>
      <w:proofErr w:type="spellStart"/>
      <w:r>
        <w:t>CtLC</w:t>
      </w:r>
      <w:proofErr w:type="spellEnd"/>
      <w:r>
        <w:t xml:space="preserve"> Ambassadors training others for direct service delivery)?</w:t>
      </w:r>
      <w:r>
        <w:rPr>
          <w:color w:val="1F497D"/>
        </w:rPr>
        <w:t xml:space="preserve"> </w:t>
      </w:r>
    </w:p>
    <w:p w:rsidR="00C100A3" w:rsidRDefault="00E05F24" w:rsidP="00E05F24">
      <w:pPr>
        <w:pStyle w:val="ListParagraph"/>
        <w:contextualSpacing w:val="0"/>
        <w:rPr>
          <w:color w:val="0070C0"/>
        </w:rPr>
      </w:pPr>
      <w:r w:rsidRPr="00E05F24">
        <w:rPr>
          <w:color w:val="0070C0"/>
        </w:rPr>
        <w:t xml:space="preserve">Answer: </w:t>
      </w:r>
      <w:r w:rsidR="00C100A3" w:rsidRPr="000D08F5">
        <w:rPr>
          <w:color w:val="0070C0"/>
        </w:rPr>
        <w:t xml:space="preserve">Charting the </w:t>
      </w:r>
      <w:proofErr w:type="spellStart"/>
      <w:r w:rsidR="00C100A3" w:rsidRPr="000D08F5">
        <w:rPr>
          <w:color w:val="0070C0"/>
        </w:rPr>
        <w:t>LifeCourse</w:t>
      </w:r>
      <w:proofErr w:type="spellEnd"/>
      <w:r w:rsidR="00C100A3" w:rsidRPr="000D08F5">
        <w:rPr>
          <w:color w:val="0070C0"/>
        </w:rPr>
        <w:t xml:space="preserve"> is not a train the trainer model which is stated in the Ambassador training. Certificates for CTLC can only be done through the Charting the </w:t>
      </w:r>
      <w:proofErr w:type="spellStart"/>
      <w:r w:rsidR="00C100A3" w:rsidRPr="000D08F5">
        <w:rPr>
          <w:color w:val="0070C0"/>
        </w:rPr>
        <w:t>LifeCourse</w:t>
      </w:r>
      <w:proofErr w:type="spellEnd"/>
      <w:r w:rsidR="00C100A3" w:rsidRPr="000D08F5">
        <w:rPr>
          <w:color w:val="0070C0"/>
        </w:rPr>
        <w:t>. However, general information to be shared can be done in this model within on organization.</w:t>
      </w:r>
    </w:p>
    <w:p w:rsidR="00E05F24" w:rsidRPr="00E05F24" w:rsidRDefault="00E05F24" w:rsidP="00E05F24">
      <w:pPr>
        <w:rPr>
          <w:color w:val="0070C0"/>
        </w:rPr>
      </w:pPr>
    </w:p>
    <w:p w:rsidR="00C100A3" w:rsidRDefault="00C100A3" w:rsidP="00C100A3">
      <w:pPr>
        <w:pStyle w:val="ListParagraph"/>
        <w:numPr>
          <w:ilvl w:val="0"/>
          <w:numId w:val="6"/>
        </w:numPr>
        <w:contextualSpacing w:val="0"/>
      </w:pPr>
      <w:r>
        <w:rPr>
          <w:color w:val="000000"/>
        </w:rPr>
        <w:t xml:space="preserve">What is the number of DDS-supported individuals statewide projected to be served by this grant in year </w:t>
      </w:r>
      <w:proofErr w:type="gramStart"/>
      <w:r>
        <w:rPr>
          <w:color w:val="000000"/>
        </w:rPr>
        <w:t>1  </w:t>
      </w:r>
      <w:r>
        <w:rPr>
          <w:color w:val="000000"/>
          <w:u w:val="single"/>
        </w:rPr>
        <w:t>and</w:t>
      </w:r>
      <w:proofErr w:type="gramEnd"/>
      <w:r>
        <w:rPr>
          <w:color w:val="000000"/>
        </w:rPr>
        <w:t xml:space="preserve"> in each subsequent project year (2-5)?</w:t>
      </w:r>
    </w:p>
    <w:p w:rsidR="00C100A3" w:rsidRDefault="00E05F24" w:rsidP="00C100A3">
      <w:pPr>
        <w:ind w:left="720"/>
        <w:rPr>
          <w:color w:val="0070C0"/>
        </w:rPr>
      </w:pPr>
      <w:r>
        <w:rPr>
          <w:color w:val="0070C0"/>
        </w:rPr>
        <w:t xml:space="preserve">Answer: </w:t>
      </w:r>
      <w:r w:rsidR="00C100A3" w:rsidRPr="000D08F5">
        <w:rPr>
          <w:color w:val="0070C0"/>
        </w:rPr>
        <w:t xml:space="preserve">DDS Serves 17.691 individuals. Information, interactions, support and services shared with individuals and families will vary from year to year. </w:t>
      </w:r>
      <w:r w:rsidR="00C100A3">
        <w:rPr>
          <w:color w:val="0070C0"/>
        </w:rPr>
        <w:t xml:space="preserve">It is the intent to serve/support as many individuals and families as possible through various media platforms. </w:t>
      </w:r>
      <w:r w:rsidR="00C100A3" w:rsidRPr="000D08F5">
        <w:rPr>
          <w:color w:val="0070C0"/>
        </w:rPr>
        <w:t xml:space="preserve">Projections will be developed with the awardee based on </w:t>
      </w:r>
      <w:proofErr w:type="spellStart"/>
      <w:r w:rsidR="00C100A3" w:rsidRPr="000D08F5">
        <w:rPr>
          <w:color w:val="0070C0"/>
        </w:rPr>
        <w:t>LifeCourse</w:t>
      </w:r>
      <w:proofErr w:type="spellEnd"/>
      <w:r w:rsidR="00C100A3" w:rsidRPr="000D08F5">
        <w:rPr>
          <w:color w:val="0070C0"/>
        </w:rPr>
        <w:t xml:space="preserve"> areas and initiatives of the department</w:t>
      </w:r>
      <w:r w:rsidR="00C100A3">
        <w:rPr>
          <w:color w:val="0070C0"/>
        </w:rPr>
        <w:t xml:space="preserve">. </w:t>
      </w:r>
    </w:p>
    <w:p w:rsidR="00E05F24" w:rsidRDefault="00E05F24" w:rsidP="00C100A3">
      <w:pPr>
        <w:ind w:left="720"/>
        <w:rPr>
          <w:color w:val="0070C0"/>
        </w:rPr>
      </w:pPr>
    </w:p>
    <w:p w:rsidR="00C100A3" w:rsidRPr="000D08F5" w:rsidRDefault="00C100A3" w:rsidP="00C100A3">
      <w:pPr>
        <w:pStyle w:val="ListParagraph"/>
        <w:numPr>
          <w:ilvl w:val="0"/>
          <w:numId w:val="6"/>
        </w:numPr>
        <w:contextualSpacing w:val="0"/>
      </w:pPr>
      <w:bookmarkStart w:id="1" w:name="_Hlk30150602"/>
      <w:r w:rsidRPr="000D08F5">
        <w:t>Please clarify t</w:t>
      </w:r>
      <w:r w:rsidRPr="000D08F5">
        <w:rPr>
          <w:color w:val="000000"/>
        </w:rPr>
        <w:t xml:space="preserve">he annual </w:t>
      </w:r>
      <w:r w:rsidRPr="000D08F5">
        <w:t xml:space="preserve">and total </w:t>
      </w:r>
      <w:r w:rsidRPr="000D08F5">
        <w:rPr>
          <w:color w:val="000000"/>
        </w:rPr>
        <w:t xml:space="preserve">contract </w:t>
      </w:r>
      <w:r w:rsidRPr="000D08F5">
        <w:t>award amounts</w:t>
      </w:r>
      <w:r w:rsidRPr="000D08F5">
        <w:rPr>
          <w:color w:val="000000"/>
        </w:rPr>
        <w:t xml:space="preserve"> per year</w:t>
      </w:r>
      <w:r w:rsidRPr="000D08F5">
        <w:t xml:space="preserve"> – i.e., is this $125,000 per year for 5 years (total of $625,000 over five years) or $300,000 per year for 5 years (total $1,500,000 for 5 years), or a combination of these? As noted in the RFP: </w:t>
      </w:r>
    </w:p>
    <w:p w:rsidR="00C100A3" w:rsidRDefault="00C100A3" w:rsidP="00C100A3">
      <w:pPr>
        <w:pStyle w:val="ListParagraph"/>
        <w:numPr>
          <w:ilvl w:val="1"/>
          <w:numId w:val="6"/>
        </w:numPr>
        <w:contextualSpacing w:val="0"/>
        <w:rPr>
          <w:color w:val="000000"/>
        </w:rPr>
      </w:pPr>
      <w:r>
        <w:rPr>
          <w:color w:val="000000"/>
        </w:rPr>
        <w:t>p.3 #2- "The contract award will be $125,000 per year, for a five</w:t>
      </w:r>
      <w:r w:rsidR="00E05F24">
        <w:rPr>
          <w:color w:val="000000"/>
        </w:rPr>
        <w:t>-</w:t>
      </w:r>
      <w:r>
        <w:rPr>
          <w:color w:val="000000"/>
        </w:rPr>
        <w:t>year period."</w:t>
      </w:r>
    </w:p>
    <w:p w:rsidR="00C100A3" w:rsidRDefault="00C100A3" w:rsidP="00C100A3">
      <w:pPr>
        <w:pStyle w:val="ListParagraph"/>
        <w:numPr>
          <w:ilvl w:val="1"/>
          <w:numId w:val="6"/>
        </w:numPr>
        <w:contextualSpacing w:val="0"/>
        <w:rPr>
          <w:color w:val="000000"/>
        </w:rPr>
      </w:pPr>
      <w:r>
        <w:rPr>
          <w:color w:val="000000"/>
        </w:rPr>
        <w:t>p.7 #4- "Total Maximum Funding Available: Not to exceed $300,000 in one-time funding per year, for five years."</w:t>
      </w:r>
    </w:p>
    <w:bookmarkEnd w:id="1"/>
    <w:p w:rsidR="00C100A3" w:rsidRPr="00524523" w:rsidRDefault="00E05F24" w:rsidP="00C100A3">
      <w:pPr>
        <w:ind w:left="720"/>
        <w:rPr>
          <w:rFonts w:ascii="Trebuchet MS" w:hAnsi="Trebuchet MS"/>
          <w:color w:val="0070C0"/>
        </w:rPr>
      </w:pPr>
      <w:r>
        <w:rPr>
          <w:color w:val="0070C0"/>
        </w:rPr>
        <w:t xml:space="preserve">Answer: </w:t>
      </w:r>
      <w:r w:rsidR="00C100A3" w:rsidRPr="00524523">
        <w:rPr>
          <w:color w:val="0070C0"/>
        </w:rPr>
        <w:t>The contractor will be awarded up to $125,000 in one-time funding for the duration of five years to pay for the cost associated with the necessary administrative/clinical staffing needed to implement contract responsibilities. Based on the contractor’s demonstrated need, additional allocation may be given over the 5 years not to exceed $300,000.</w:t>
      </w:r>
    </w:p>
    <w:p w:rsidR="00C100A3" w:rsidRDefault="00C100A3" w:rsidP="00C100A3">
      <w:pPr>
        <w:ind w:left="360" w:firstLine="360"/>
        <w:rPr>
          <w:color w:val="0070C0"/>
        </w:rPr>
      </w:pPr>
      <w:r w:rsidRPr="00524523">
        <w:rPr>
          <w:color w:val="0070C0"/>
        </w:rPr>
        <w:t>The contract is for 5 years at $125,000 per year</w:t>
      </w:r>
    </w:p>
    <w:p w:rsidR="00E05F24" w:rsidRPr="00524523" w:rsidRDefault="00E05F24" w:rsidP="00C100A3">
      <w:pPr>
        <w:ind w:left="360" w:firstLine="360"/>
        <w:rPr>
          <w:color w:val="0070C0"/>
        </w:rPr>
      </w:pPr>
    </w:p>
    <w:p w:rsidR="00C100A3" w:rsidRDefault="00C100A3" w:rsidP="00C100A3">
      <w:pPr>
        <w:pStyle w:val="ListParagraph"/>
        <w:numPr>
          <w:ilvl w:val="0"/>
          <w:numId w:val="6"/>
        </w:numPr>
        <w:contextualSpacing w:val="0"/>
        <w:rPr>
          <w:color w:val="000000"/>
        </w:rPr>
      </w:pPr>
      <w:r>
        <w:rPr>
          <w:color w:val="000000"/>
        </w:rPr>
        <w:t xml:space="preserve">Is the expectation that the contractor will complete </w:t>
      </w:r>
      <w:proofErr w:type="spellStart"/>
      <w:r>
        <w:rPr>
          <w:color w:val="000000"/>
        </w:rPr>
        <w:t>CtLC</w:t>
      </w:r>
      <w:proofErr w:type="spellEnd"/>
      <w:r>
        <w:rPr>
          <w:color w:val="000000"/>
        </w:rPr>
        <w:t xml:space="preserve"> with the family and individual, and then share the information with the DDS case manager for monitoring of the plan? Or is the expectation that the contractor will provide </w:t>
      </w:r>
      <w:proofErr w:type="spellStart"/>
      <w:r>
        <w:rPr>
          <w:color w:val="000000"/>
        </w:rPr>
        <w:t>CtLC</w:t>
      </w:r>
      <w:proofErr w:type="spellEnd"/>
      <w:r>
        <w:rPr>
          <w:color w:val="000000"/>
        </w:rPr>
        <w:t xml:space="preserve"> initial planning sessions as well as follow-up monitoring/reassessment visits (and if this is the case, over what </w:t>
      </w:r>
      <w:proofErr w:type="gramStart"/>
      <w:r>
        <w:rPr>
          <w:color w:val="000000"/>
        </w:rPr>
        <w:t>period of time</w:t>
      </w:r>
      <w:proofErr w:type="gramEnd"/>
      <w:r>
        <w:rPr>
          <w:color w:val="000000"/>
        </w:rPr>
        <w:t>)?</w:t>
      </w:r>
    </w:p>
    <w:p w:rsidR="00C100A3" w:rsidRPr="00524523" w:rsidRDefault="00E05F24" w:rsidP="00E05F24">
      <w:pPr>
        <w:autoSpaceDE w:val="0"/>
        <w:autoSpaceDN w:val="0"/>
        <w:spacing w:before="100" w:after="100"/>
        <w:ind w:left="720"/>
        <w:rPr>
          <w:color w:val="0070C0"/>
          <w:szCs w:val="24"/>
        </w:rPr>
      </w:pPr>
      <w:r>
        <w:rPr>
          <w:color w:val="0070C0"/>
          <w:szCs w:val="24"/>
        </w:rPr>
        <w:t xml:space="preserve">Answer: </w:t>
      </w:r>
      <w:r w:rsidR="00C100A3">
        <w:rPr>
          <w:color w:val="0070C0"/>
          <w:szCs w:val="24"/>
        </w:rPr>
        <w:t xml:space="preserve">The </w:t>
      </w:r>
      <w:proofErr w:type="spellStart"/>
      <w:r w:rsidR="00C100A3">
        <w:rPr>
          <w:color w:val="0070C0"/>
          <w:szCs w:val="24"/>
        </w:rPr>
        <w:t>CtLC</w:t>
      </w:r>
      <w:proofErr w:type="spellEnd"/>
      <w:r w:rsidR="00C100A3">
        <w:rPr>
          <w:color w:val="0070C0"/>
          <w:szCs w:val="24"/>
        </w:rPr>
        <w:t xml:space="preserve"> is a model and foundation for service delivery not a training component expectation. </w:t>
      </w:r>
      <w:r w:rsidR="00C100A3" w:rsidRPr="00524523">
        <w:rPr>
          <w:color w:val="0070C0"/>
          <w:szCs w:val="24"/>
        </w:rPr>
        <w:t xml:space="preserve">The Department’s </w:t>
      </w:r>
      <w:proofErr w:type="spellStart"/>
      <w:r w:rsidR="00C100A3" w:rsidRPr="00524523">
        <w:rPr>
          <w:color w:val="0070C0"/>
          <w:szCs w:val="24"/>
        </w:rPr>
        <w:t>CtLC</w:t>
      </w:r>
      <w:proofErr w:type="spellEnd"/>
      <w:r w:rsidR="00C100A3" w:rsidRPr="00524523">
        <w:rPr>
          <w:color w:val="0070C0"/>
          <w:szCs w:val="24"/>
        </w:rPr>
        <w:t xml:space="preserve"> based supports and services reflect the principles and practices of self- determination.  Self-determination is a national </w:t>
      </w:r>
      <w:r w:rsidR="00C100A3" w:rsidRPr="00524523">
        <w:rPr>
          <w:color w:val="0070C0"/>
          <w:szCs w:val="24"/>
        </w:rPr>
        <w:lastRenderedPageBreak/>
        <w:t xml:space="preserve">movement about rights and personal freedom. It is an approach to service delivery that supports people with disabilities to live the lives they desire. Self-determination helps people, their families and friends determine their future, design their own support plans, choose the assistance they need to live full lives and control a personal budget for their supports. Individuals may use their individual budgets to hire their own staff, to purchase supports from a traditional agency or from an Agency with </w:t>
      </w:r>
      <w:proofErr w:type="gramStart"/>
      <w:r w:rsidR="00C100A3" w:rsidRPr="00524523">
        <w:rPr>
          <w:color w:val="0070C0"/>
          <w:szCs w:val="24"/>
        </w:rPr>
        <w:t>Choice, or</w:t>
      </w:r>
      <w:proofErr w:type="gramEnd"/>
      <w:r w:rsidR="00C100A3" w:rsidRPr="00524523">
        <w:rPr>
          <w:color w:val="0070C0"/>
          <w:szCs w:val="24"/>
        </w:rPr>
        <w:t xml:space="preserve"> may select a combination of these approaches. </w:t>
      </w:r>
    </w:p>
    <w:p w:rsidR="00C100A3" w:rsidRPr="00524523" w:rsidRDefault="00C100A3" w:rsidP="00C100A3">
      <w:pPr>
        <w:pStyle w:val="ListParagraph"/>
        <w:autoSpaceDE w:val="0"/>
        <w:autoSpaceDN w:val="0"/>
        <w:rPr>
          <w:color w:val="FF0000"/>
          <w:szCs w:val="24"/>
          <w:highlight w:val="yellow"/>
        </w:rPr>
      </w:pPr>
    </w:p>
    <w:p w:rsidR="00C100A3" w:rsidRPr="00524523" w:rsidRDefault="00C100A3" w:rsidP="00E05F24">
      <w:pPr>
        <w:autoSpaceDE w:val="0"/>
        <w:autoSpaceDN w:val="0"/>
        <w:ind w:left="720"/>
        <w:rPr>
          <w:color w:val="0070C0"/>
          <w:szCs w:val="24"/>
        </w:rPr>
      </w:pPr>
      <w:r w:rsidRPr="00524523">
        <w:rPr>
          <w:color w:val="0070C0"/>
          <w:szCs w:val="24"/>
        </w:rPr>
        <w:t xml:space="preserve">DDS believes that the implementation of </w:t>
      </w:r>
      <w:proofErr w:type="spellStart"/>
      <w:r w:rsidRPr="00524523">
        <w:rPr>
          <w:color w:val="0070C0"/>
          <w:szCs w:val="24"/>
        </w:rPr>
        <w:t>CtLC</w:t>
      </w:r>
      <w:proofErr w:type="spellEnd"/>
      <w:r w:rsidRPr="00524523">
        <w:rPr>
          <w:color w:val="0070C0"/>
          <w:szCs w:val="24"/>
        </w:rPr>
        <w:t xml:space="preserve"> activities beginning at an early age and continuing throughout the lifespan will result in more people with ID achieving positive life outcomes as a result of the support they receive through an array of effective supports and services.   </w:t>
      </w:r>
    </w:p>
    <w:p w:rsidR="00C100A3" w:rsidRDefault="00C100A3" w:rsidP="00C100A3">
      <w:pPr>
        <w:pStyle w:val="ListParagraph"/>
        <w:rPr>
          <w:color w:val="000000"/>
        </w:rPr>
      </w:pPr>
    </w:p>
    <w:p w:rsidR="00C100A3" w:rsidRPr="008A398F" w:rsidRDefault="00C100A3" w:rsidP="00C100A3">
      <w:pPr>
        <w:pStyle w:val="ListParagraph"/>
        <w:numPr>
          <w:ilvl w:val="0"/>
          <w:numId w:val="6"/>
        </w:numPr>
        <w:contextualSpacing w:val="0"/>
        <w:rPr>
          <w:color w:val="000000"/>
        </w:rPr>
      </w:pPr>
      <w:r>
        <w:rPr>
          <w:color w:val="000000"/>
        </w:rPr>
        <w:t xml:space="preserve">Is there </w:t>
      </w:r>
      <w:r>
        <w:t>a required or preferred method</w:t>
      </w:r>
      <w:r>
        <w:rPr>
          <w:color w:val="000000"/>
        </w:rPr>
        <w:t xml:space="preserve"> in which the </w:t>
      </w:r>
      <w:r>
        <w:t xml:space="preserve">DDS-supported </w:t>
      </w:r>
      <w:r>
        <w:rPr>
          <w:color w:val="000000"/>
        </w:rPr>
        <w:t>individual</w:t>
      </w:r>
      <w:r>
        <w:t xml:space="preserve">s and their families </w:t>
      </w:r>
      <w:r>
        <w:rPr>
          <w:color w:val="000000"/>
        </w:rPr>
        <w:t xml:space="preserve">are to receive </w:t>
      </w:r>
      <w:proofErr w:type="spellStart"/>
      <w:r>
        <w:t>CtLC</w:t>
      </w:r>
      <w:proofErr w:type="spellEnd"/>
      <w:r>
        <w:t xml:space="preserve"> trainings and direct services</w:t>
      </w:r>
      <w:r>
        <w:rPr>
          <w:color w:val="000000"/>
        </w:rPr>
        <w:t xml:space="preserve">, </w:t>
      </w:r>
      <w:r>
        <w:t>i.e.,</w:t>
      </w:r>
      <w:r>
        <w:rPr>
          <w:color w:val="000000"/>
        </w:rPr>
        <w:t xml:space="preserve"> </w:t>
      </w:r>
      <w:r>
        <w:t>are services only to be provided</w:t>
      </w:r>
      <w:r>
        <w:rPr>
          <w:color w:val="000000"/>
        </w:rPr>
        <w:t xml:space="preserve"> 1:1, or are </w:t>
      </w:r>
      <w:r>
        <w:t xml:space="preserve">services in </w:t>
      </w:r>
      <w:r>
        <w:rPr>
          <w:color w:val="000000"/>
        </w:rPr>
        <w:t xml:space="preserve">small </w:t>
      </w:r>
      <w:r>
        <w:t>or</w:t>
      </w:r>
      <w:r>
        <w:rPr>
          <w:color w:val="000000"/>
        </w:rPr>
        <w:t xml:space="preserve"> large</w:t>
      </w:r>
      <w:r>
        <w:t>r</w:t>
      </w:r>
      <w:r>
        <w:rPr>
          <w:color w:val="000000"/>
        </w:rPr>
        <w:t xml:space="preserve"> group </w:t>
      </w:r>
      <w:r>
        <w:t>settings acceptable as well?</w:t>
      </w:r>
    </w:p>
    <w:p w:rsidR="00C100A3" w:rsidRPr="008A398F" w:rsidRDefault="00E05F24" w:rsidP="00E05F24">
      <w:pPr>
        <w:ind w:left="720"/>
        <w:rPr>
          <w:color w:val="0070C0"/>
        </w:rPr>
      </w:pPr>
      <w:r>
        <w:rPr>
          <w:color w:val="0070C0"/>
        </w:rPr>
        <w:t xml:space="preserve">Answer: </w:t>
      </w:r>
      <w:proofErr w:type="spellStart"/>
      <w:r w:rsidR="00C100A3" w:rsidRPr="008A398F">
        <w:rPr>
          <w:color w:val="0070C0"/>
        </w:rPr>
        <w:t>CtLC</w:t>
      </w:r>
      <w:proofErr w:type="spellEnd"/>
      <w:r w:rsidR="00C100A3" w:rsidRPr="008A398F">
        <w:rPr>
          <w:color w:val="0070C0"/>
        </w:rPr>
        <w:t xml:space="preserve"> is not a training to be provided to individuals and families. Refer to answer 5</w:t>
      </w:r>
    </w:p>
    <w:p w:rsidR="00C100A3" w:rsidRPr="008A398F" w:rsidRDefault="00C100A3" w:rsidP="00C100A3">
      <w:pPr>
        <w:ind w:left="360"/>
        <w:rPr>
          <w:color w:val="000000"/>
        </w:rPr>
      </w:pPr>
    </w:p>
    <w:p w:rsidR="00C100A3" w:rsidRDefault="00C100A3" w:rsidP="00C100A3">
      <w:pPr>
        <w:pStyle w:val="ListParagraph"/>
        <w:numPr>
          <w:ilvl w:val="0"/>
          <w:numId w:val="6"/>
        </w:numPr>
        <w:contextualSpacing w:val="0"/>
        <w:rPr>
          <w:color w:val="000000"/>
        </w:rPr>
      </w:pPr>
      <w:bookmarkStart w:id="2" w:name="_Hlk30153046"/>
      <w:r>
        <w:t>Is there a cap on the indirect cost rate that can be applied to the proposed budget?  Does the state-approved restricted or unrestricted rate apply?   </w:t>
      </w:r>
    </w:p>
    <w:bookmarkEnd w:id="2"/>
    <w:p w:rsidR="00C100A3" w:rsidRPr="008A398F" w:rsidRDefault="00E05F24" w:rsidP="00E05F24">
      <w:pPr>
        <w:ind w:left="720"/>
        <w:rPr>
          <w:color w:val="0070C0"/>
        </w:rPr>
      </w:pPr>
      <w:r>
        <w:rPr>
          <w:color w:val="0070C0"/>
        </w:rPr>
        <w:t xml:space="preserve">Answer: Answer: </w:t>
      </w:r>
      <w:r w:rsidR="00C100A3" w:rsidRPr="008A398F">
        <w:rPr>
          <w:color w:val="0070C0"/>
        </w:rPr>
        <w:t>There is not</w:t>
      </w:r>
      <w:r w:rsidR="00C100A3">
        <w:rPr>
          <w:color w:val="0070C0"/>
        </w:rPr>
        <w:t xml:space="preserve"> a</w:t>
      </w:r>
      <w:r w:rsidR="00C100A3" w:rsidRPr="008A398F">
        <w:rPr>
          <w:color w:val="0070C0"/>
        </w:rPr>
        <w:t xml:space="preserve"> cap for indirect costs. The $125,000 a year is to cover all costs associated with the delivery of the services/supports as outlined in the RFP</w:t>
      </w:r>
    </w:p>
    <w:p w:rsidR="000B27A1" w:rsidRPr="00C03B2C" w:rsidRDefault="000B27A1" w:rsidP="00C100A3">
      <w:pPr>
        <w:pStyle w:val="NoSpacing"/>
        <w:jc w:val="center"/>
        <w:rPr>
          <w:szCs w:val="24"/>
        </w:rPr>
      </w:pPr>
    </w:p>
    <w:sectPr w:rsidR="000B27A1" w:rsidRPr="00C03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38" w:rsidRDefault="00AA3D38" w:rsidP="00AA3D38">
      <w:r>
        <w:separator/>
      </w:r>
    </w:p>
  </w:endnote>
  <w:endnote w:type="continuationSeparator" w:id="0">
    <w:p w:rsidR="00AA3D38" w:rsidRDefault="00AA3D38" w:rsidP="00A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38" w:rsidRDefault="00AA3D38" w:rsidP="00AA3D38">
      <w:r>
        <w:separator/>
      </w:r>
    </w:p>
  </w:footnote>
  <w:footnote w:type="continuationSeparator" w:id="0">
    <w:p w:rsidR="00AA3D38" w:rsidRDefault="00AA3D38" w:rsidP="00AA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8" w:rsidRDefault="00AA3D38" w:rsidP="00AA3D38">
    <w:pPr>
      <w:pStyle w:val="Header"/>
      <w:jc w:val="both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FY 2020 Charting </w:t>
    </w:r>
    <w:proofErr w:type="gramStart"/>
    <w:r>
      <w:rPr>
        <w:sz w:val="16"/>
        <w:szCs w:val="16"/>
      </w:rPr>
      <w:t>The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LifeCourse</w:t>
    </w:r>
    <w:proofErr w:type="spellEnd"/>
    <w:r>
      <w:rPr>
        <w:sz w:val="16"/>
        <w:szCs w:val="16"/>
      </w:rPr>
      <w:t xml:space="preserve"> Family Collaboration Partnership</w:t>
    </w:r>
  </w:p>
  <w:p w:rsidR="00AA3D38" w:rsidRDefault="00AA3D38" w:rsidP="00AA3D38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05F24">
      <w:rPr>
        <w:sz w:val="16"/>
        <w:szCs w:val="16"/>
      </w:rPr>
      <w:t xml:space="preserve">Additional </w:t>
    </w:r>
    <w:r>
      <w:rPr>
        <w:sz w:val="16"/>
        <w:szCs w:val="16"/>
      </w:rPr>
      <w:t>Questions and Answers</w:t>
    </w:r>
  </w:p>
  <w:p w:rsidR="00AA3D38" w:rsidRDefault="00AA3D38" w:rsidP="00AA3D38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2</w:t>
    </w:r>
  </w:p>
  <w:p w:rsidR="004B28DD" w:rsidRDefault="004B28DD" w:rsidP="00AA3D38">
    <w:pPr>
      <w:pStyle w:val="Header"/>
      <w:jc w:val="both"/>
      <w:rPr>
        <w:sz w:val="16"/>
        <w:szCs w:val="16"/>
      </w:rPr>
    </w:pPr>
  </w:p>
  <w:p w:rsidR="00AA3D38" w:rsidRPr="00AA3D38" w:rsidRDefault="00AA3D38" w:rsidP="00AA3D38">
    <w:pPr>
      <w:pStyle w:val="Header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DCC"/>
    <w:multiLevelType w:val="hybridMultilevel"/>
    <w:tmpl w:val="F98052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742ED"/>
    <w:multiLevelType w:val="hybridMultilevel"/>
    <w:tmpl w:val="C218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2BA"/>
    <w:multiLevelType w:val="hybridMultilevel"/>
    <w:tmpl w:val="440E3822"/>
    <w:lvl w:ilvl="0" w:tplc="DC427704">
      <w:start w:val="2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2B02473"/>
    <w:multiLevelType w:val="hybridMultilevel"/>
    <w:tmpl w:val="EE1E7A2A"/>
    <w:lvl w:ilvl="0" w:tplc="F00A74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9DE"/>
    <w:multiLevelType w:val="hybridMultilevel"/>
    <w:tmpl w:val="A936F280"/>
    <w:lvl w:ilvl="0" w:tplc="D876D1D6">
      <w:start w:val="8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2"/>
    <w:rsid w:val="000B27A1"/>
    <w:rsid w:val="001A0E83"/>
    <w:rsid w:val="002F48DE"/>
    <w:rsid w:val="004B28DD"/>
    <w:rsid w:val="005F4587"/>
    <w:rsid w:val="00AA3D38"/>
    <w:rsid w:val="00C03B2C"/>
    <w:rsid w:val="00C100A3"/>
    <w:rsid w:val="00D32CC5"/>
    <w:rsid w:val="00E02124"/>
    <w:rsid w:val="00E05F24"/>
    <w:rsid w:val="00E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F3613-0CBA-4B42-91F5-169FEDAB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7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2D2"/>
    <w:pPr>
      <w:ind w:left="720"/>
      <w:contextualSpacing/>
    </w:pPr>
  </w:style>
  <w:style w:type="paragraph" w:styleId="NoSpacing">
    <w:name w:val="No Spacing"/>
    <w:uiPriority w:val="1"/>
    <w:qFormat/>
    <w:rsid w:val="00D32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3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3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PerrinoD</dc:creator>
  <cp:lastModifiedBy>David, David</cp:lastModifiedBy>
  <cp:revision>2</cp:revision>
  <dcterms:created xsi:type="dcterms:W3CDTF">2020-02-03T19:58:00Z</dcterms:created>
  <dcterms:modified xsi:type="dcterms:W3CDTF">2020-02-03T19:58:00Z</dcterms:modified>
</cp:coreProperties>
</file>