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9360"/>
      </w:tblGrid>
      <w:tr w:rsidR="00A76831" w:rsidRPr="00A76831" w:rsidTr="00413C72">
        <w:trPr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A76831" w:rsidRPr="00A76831" w:rsidRDefault="00A76831" w:rsidP="00A76831">
            <w:pPr>
              <w:spacing w:before="120" w:after="120" w:line="240" w:lineRule="exact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A7683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IV.  PROPOSAL OUTLINE</w:t>
            </w:r>
          </w:p>
        </w:tc>
      </w:tr>
    </w:tbl>
    <w:p w:rsidR="00A76831" w:rsidRPr="00A76831" w:rsidRDefault="00A76831" w:rsidP="00A76831">
      <w:pPr>
        <w:spacing w:after="0" w:line="240" w:lineRule="exact"/>
        <w:ind w:left="7560" w:firstLine="360"/>
        <w:rPr>
          <w:rFonts w:ascii="Verdana" w:eastAsia="Times New Roman" w:hAnsi="Verdana" w:cs="Arial"/>
          <w:b/>
          <w:color w:val="000000"/>
          <w:sz w:val="18"/>
          <w:szCs w:val="18"/>
          <w:u w:val="single"/>
        </w:rPr>
      </w:pPr>
      <w:r w:rsidRPr="00A76831">
        <w:rPr>
          <w:rFonts w:ascii="Verdana" w:eastAsia="Times New Roman" w:hAnsi="Verdana" w:cs="Arial"/>
          <w:color w:val="000000"/>
          <w:sz w:val="18"/>
          <w:szCs w:val="18"/>
        </w:rPr>
        <w:t xml:space="preserve">   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  <w:u w:val="single"/>
        </w:rPr>
        <w:t>Page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A.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>Cover Sheet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 1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B.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Ta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>ble of Contents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proofErr w:type="gramStart"/>
      <w:r>
        <w:rPr>
          <w:rFonts w:ascii="Verdana" w:eastAsia="Times New Roman" w:hAnsi="Verdana" w:cs="Arial"/>
          <w:b/>
          <w:color w:val="000000"/>
          <w:sz w:val="18"/>
          <w:szCs w:val="18"/>
        </w:rPr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 2</w:t>
      </w:r>
      <w:proofErr w:type="gramEnd"/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C.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Declaration of Con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>fidential Information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Etc.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D.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Conflict of Interest - Disclosure Statement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E.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Executive Summary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 w:hanging="360"/>
        <w:rPr>
          <w:rFonts w:ascii="Verdana" w:eastAsia="Times New Roman" w:hAnsi="Verdana" w:cs="Arial"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F.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Main Proposal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1.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Organizational Profile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Purpose, Mission, Philosophy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Entity Type / Years of Operation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Organizational Structure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1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Corrective Action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2.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A76831">
        <w:rPr>
          <w:rFonts w:ascii="Verdana" w:eastAsia="Times New Roman" w:hAnsi="Verdana" w:cs="Arial"/>
          <w:b/>
          <w:sz w:val="18"/>
          <w:szCs w:val="18"/>
        </w:rPr>
        <w:t>Qualifications / Licensure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 xml:space="preserve"> 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3.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A76831">
        <w:rPr>
          <w:rFonts w:ascii="Verdana" w:eastAsia="Times New Roman" w:hAnsi="Verdana" w:cs="Arial"/>
          <w:b/>
          <w:sz w:val="18"/>
          <w:szCs w:val="18"/>
        </w:rPr>
        <w:t>Scope of Services: Administration and Support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Referral Acceptance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Trip Batching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Driver Dispatching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 xml:space="preserve">. 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Transportation Notifications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Timely Provision of Transport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Quality Assurance Activities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 xml:space="preserve">. 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 xml:space="preserve">Complaint 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>Resolution</w:t>
      </w:r>
      <w:bookmarkStart w:id="0" w:name="_GoBack"/>
      <w:bookmarkEnd w:id="0"/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108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Payment Batching and Dispatching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 xml:space="preserve">. </w:t>
      </w:r>
    </w:p>
    <w:p w:rsidR="00A76831" w:rsidRDefault="00A76831" w:rsidP="00A76831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Monthly Reporting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auto"/>
        <w:ind w:left="1080"/>
        <w:contextualSpacing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 xml:space="preserve"> 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4.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A76831">
        <w:rPr>
          <w:rFonts w:ascii="Verdana" w:eastAsia="Times New Roman" w:hAnsi="Verdana" w:cs="Arial"/>
          <w:b/>
          <w:sz w:val="18"/>
          <w:szCs w:val="18"/>
        </w:rPr>
        <w:t xml:space="preserve">Scope of Services: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Direct Transportation Service Delivery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5.  Staffing Requirements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Staff Categories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Background Checks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numPr>
          <w:ilvl w:val="0"/>
          <w:numId w:val="2"/>
        </w:numPr>
        <w:spacing w:after="0" w:line="240" w:lineRule="exact"/>
        <w:ind w:left="108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>Staff Retention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color w:val="80808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color w:val="80808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sz w:val="18"/>
          <w:szCs w:val="18"/>
        </w:rPr>
      </w:pPr>
      <w:r w:rsidRPr="00A76831">
        <w:rPr>
          <w:rFonts w:ascii="Verdana" w:eastAsia="Times New Roman" w:hAnsi="Verdana" w:cs="Arial"/>
          <w:b/>
          <w:sz w:val="18"/>
          <w:szCs w:val="18"/>
        </w:rPr>
        <w:t>6.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 xml:space="preserve">Implementation </w:t>
      </w:r>
      <w:proofErr w:type="gramStart"/>
      <w:r w:rsidRPr="00A76831">
        <w:rPr>
          <w:rFonts w:ascii="Verdana" w:eastAsia="Times New Roman" w:hAnsi="Verdana" w:cs="Arial"/>
          <w:b/>
          <w:sz w:val="18"/>
          <w:szCs w:val="18"/>
        </w:rPr>
        <w:t>Plan .</w:t>
      </w:r>
      <w:proofErr w:type="gramEnd"/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sz w:val="18"/>
          <w:szCs w:val="18"/>
        </w:rPr>
      </w:pPr>
      <w:r w:rsidRPr="00A76831">
        <w:rPr>
          <w:rFonts w:ascii="Verdana" w:eastAsia="Times New Roman" w:hAnsi="Verdana" w:cs="Arial"/>
          <w:b/>
          <w:sz w:val="18"/>
          <w:szCs w:val="18"/>
        </w:rPr>
        <w:t>7.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Data and Technology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G.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Cost Proposal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1.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Financial Profile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2.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Budget and Budget Narrative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76" w:lineRule="auto"/>
        <w:ind w:left="72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</w:p>
    <w:p w:rsidR="00A76831" w:rsidRPr="00A76831" w:rsidRDefault="00A76831" w:rsidP="00A76831">
      <w:pPr>
        <w:spacing w:after="0" w:line="276" w:lineRule="auto"/>
        <w:ind w:left="720"/>
        <w:jc w:val="both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 xml:space="preserve">To access the Consolidated Budget Form, please go to: </w:t>
      </w:r>
    </w:p>
    <w:p w:rsidR="00A76831" w:rsidRPr="00A76831" w:rsidRDefault="00A76831" w:rsidP="00A76831">
      <w:pPr>
        <w:spacing w:after="0" w:line="240" w:lineRule="exact"/>
        <w:ind w:left="720"/>
        <w:rPr>
          <w:rFonts w:ascii="Verdana" w:eastAsia="Times New Roman" w:hAnsi="Verdana" w:cs="Arial"/>
          <w:color w:val="808080"/>
          <w:sz w:val="18"/>
          <w:szCs w:val="18"/>
        </w:rPr>
      </w:pPr>
      <w:hyperlink r:id="rId5" w:history="1">
        <w:r w:rsidRPr="00A76831">
          <w:rPr>
            <w:rFonts w:ascii="Verdana" w:eastAsia="Times New Roman" w:hAnsi="Verdana" w:cs="Arial"/>
            <w:color w:val="0000FF"/>
            <w:sz w:val="18"/>
            <w:szCs w:val="18"/>
            <w:u w:val="single"/>
          </w:rPr>
          <w:t>https://portal.ct.gov/DCF/Contract-Management/Home</w:t>
        </w:r>
      </w:hyperlink>
    </w:p>
    <w:p w:rsidR="00A76831" w:rsidRPr="00A76831" w:rsidRDefault="00A76831" w:rsidP="00A76831">
      <w:pPr>
        <w:spacing w:after="0" w:line="240" w:lineRule="exact"/>
        <w:ind w:left="720"/>
        <w:rPr>
          <w:rFonts w:ascii="Verdana" w:eastAsia="Times New Roman" w:hAnsi="Verdana" w:cs="Arial"/>
          <w:color w:val="80808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H.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Appendices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1.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Appendix #1 Gift &amp; Campaign Contribution Certification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lastRenderedPageBreak/>
        <w:t>2.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Appendix #2 Consulting Affidavit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3.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Appendix #3 CHRO Contract Compliance Package, Parts I-III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eastAsia="Times New Roman" w:hAnsi="Verdana" w:cs="Arial"/>
          <w:color w:val="808080"/>
          <w:sz w:val="18"/>
          <w:szCs w:val="18"/>
        </w:rPr>
      </w:pPr>
    </w:p>
    <w:p w:rsidR="00A76831" w:rsidRPr="00A76831" w:rsidRDefault="00A76831" w:rsidP="00A7683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Verdana" w:eastAsia="Times New Roman" w:hAnsi="Verdana" w:cs="Arial"/>
          <w:color w:val="808080"/>
          <w:sz w:val="18"/>
          <w:szCs w:val="18"/>
        </w:rPr>
      </w:pPr>
      <w:r w:rsidRPr="00A76831">
        <w:rPr>
          <w:rFonts w:ascii="Verdana" w:eastAsia="Times New Roman" w:hAnsi="Verdana" w:cs="Arial"/>
          <w:color w:val="808080"/>
          <w:sz w:val="18"/>
          <w:szCs w:val="18"/>
        </w:rPr>
        <w:t xml:space="preserve">The CHRO Package should be accessed from the DCF Internet site </w:t>
      </w:r>
    </w:p>
    <w:p w:rsidR="00A76831" w:rsidRPr="00A76831" w:rsidRDefault="00A76831" w:rsidP="00A76831">
      <w:pPr>
        <w:spacing w:after="0" w:line="240" w:lineRule="exact"/>
        <w:ind w:left="720"/>
        <w:rPr>
          <w:rFonts w:ascii="Verdana" w:eastAsia="Times New Roman" w:hAnsi="Verdana" w:cs="Arial"/>
          <w:color w:val="808080"/>
          <w:sz w:val="18"/>
          <w:szCs w:val="18"/>
        </w:rPr>
      </w:pPr>
      <w:hyperlink r:id="rId6" w:history="1">
        <w:r w:rsidRPr="00A76831">
          <w:rPr>
            <w:rFonts w:ascii="Verdana" w:eastAsia="Times New Roman" w:hAnsi="Verdana" w:cs="Arial"/>
            <w:color w:val="0000FF"/>
            <w:sz w:val="18"/>
            <w:szCs w:val="18"/>
            <w:u w:val="single"/>
          </w:rPr>
          <w:t>https://www.ct.gov/chro/lib/chro/Notification_to_Bidders.pdf</w:t>
        </w:r>
      </w:hyperlink>
    </w:p>
    <w:p w:rsidR="00A76831" w:rsidRPr="00A76831" w:rsidRDefault="00A76831" w:rsidP="00A76831">
      <w:pPr>
        <w:spacing w:after="0" w:line="240" w:lineRule="exact"/>
        <w:ind w:left="72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4.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Appendix #4 Table of Organization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5.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Appendix #5 CT Business License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6.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 xml:space="preserve">Appendix #6 Letters of Agreement (if required)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7.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 xml:space="preserve">Appendix #7 Financial Profile (if required)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8.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 xml:space="preserve">Appendix #8 Supplemental Direct Delivery Option (if necessary) 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9.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Appendix #9 Supplemental Budget/Narrative (if necessary</w:t>
      </w:r>
      <w:proofErr w:type="gramStart"/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>) .</w:t>
      </w:r>
      <w:proofErr w:type="gramEnd"/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  <w:t>.</w:t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A76831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A76831" w:rsidRPr="00A76831" w:rsidRDefault="00A76831" w:rsidP="00A76831">
      <w:pPr>
        <w:spacing w:after="0" w:line="240" w:lineRule="exact"/>
        <w:ind w:left="360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7B0B5F" w:rsidRDefault="007B0B5F"/>
    <w:sectPr w:rsidR="007B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EFE"/>
    <w:multiLevelType w:val="hybridMultilevel"/>
    <w:tmpl w:val="C2E8B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C30233C"/>
    <w:multiLevelType w:val="hybridMultilevel"/>
    <w:tmpl w:val="FA9821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B34F9"/>
    <w:multiLevelType w:val="hybridMultilevel"/>
    <w:tmpl w:val="E4286AC0"/>
    <w:lvl w:ilvl="0" w:tplc="27F4217C">
      <w:start w:val="1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  <w:b w:val="0"/>
        <w:i w:val="0"/>
        <w:color w:val="808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1"/>
    <w:rsid w:val="007B0B5F"/>
    <w:rsid w:val="00A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D0D7C-4F3A-414B-99F6-9C78BDF4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.gov/chro/lib/chro/Notification_to_Bidders.pdf" TargetMode="External"/><Relationship Id="rId5" Type="http://schemas.openxmlformats.org/officeDocument/2006/relationships/hyperlink" Target="https://portal.ct.gov/DCF/Contract-Management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STACIE</dc:creator>
  <cp:keywords/>
  <dc:description/>
  <cp:lastModifiedBy>ALBERT, STACIE</cp:lastModifiedBy>
  <cp:revision>1</cp:revision>
  <dcterms:created xsi:type="dcterms:W3CDTF">2019-01-11T17:09:00Z</dcterms:created>
  <dcterms:modified xsi:type="dcterms:W3CDTF">2019-01-11T17:16:00Z</dcterms:modified>
</cp:coreProperties>
</file>