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9E1A89" w:rsidP="009E1A89">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74168F"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794D73" w:rsidP="00B86304">
            <w:pPr>
              <w:tabs>
                <w:tab w:val="center" w:pos="5112"/>
                <w:tab w:val="left" w:pos="9390"/>
              </w:tabs>
              <w:spacing w:before="60" w:after="60"/>
              <w:rPr>
                <w:rFonts w:cs="Arial"/>
                <w:sz w:val="20"/>
              </w:rPr>
            </w:pPr>
            <w:bookmarkStart w:id="0" w:name="_GoBack"/>
            <w:bookmarkEnd w:id="0"/>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74168F"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74168F"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654596" w:rsidRPr="003C7B87" w:rsidRDefault="0074168F" w:rsidP="0074168F">
                <w:pPr>
                  <w:spacing w:before="60" w:after="20"/>
                  <w:rPr>
                    <w:sz w:val="20"/>
                  </w:rPr>
                </w:pPr>
                <w:r>
                  <w:rPr>
                    <w:sz w:val="20"/>
                  </w:rPr>
                  <w:t>Bathroom Renovations and ADA Upgrades</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74168F" w:rsidRDefault="0074168F" w:rsidP="0074168F">
                <w:pPr>
                  <w:spacing w:before="60" w:after="60"/>
                  <w:rPr>
                    <w:sz w:val="20"/>
                  </w:rPr>
                </w:pPr>
                <w:r>
                  <w:rPr>
                    <w:sz w:val="20"/>
                  </w:rPr>
                  <w:t>410 Capitol Avenue</w:t>
                </w:r>
              </w:p>
              <w:p w:rsidR="00654596" w:rsidRPr="003C7B87" w:rsidRDefault="0074168F" w:rsidP="0074168F">
                <w:pPr>
                  <w:spacing w:before="60" w:after="60"/>
                  <w:rPr>
                    <w:sz w:val="20"/>
                  </w:rPr>
                </w:pPr>
                <w:r>
                  <w:rPr>
                    <w:sz w:val="20"/>
                  </w:rPr>
                  <w:t>Hartford,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74168F" w:rsidP="0074168F">
                <w:pPr>
                  <w:spacing w:before="60" w:after="60"/>
                  <w:rPr>
                    <w:b/>
                    <w:sz w:val="20"/>
                  </w:rPr>
                </w:pPr>
                <w:r>
                  <w:rPr>
                    <w:b/>
                    <w:sz w:val="20"/>
                  </w:rPr>
                  <w:t>BI-2B-400</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74168F" w:rsidP="0074168F">
                <w:pPr>
                  <w:spacing w:before="60" w:after="60"/>
                  <w:rPr>
                    <w:sz w:val="20"/>
                  </w:rPr>
                </w:pPr>
                <w:proofErr w:type="spellStart"/>
                <w:r>
                  <w:rPr>
                    <w:sz w:val="20"/>
                  </w:rPr>
                  <w:t>OakPark</w:t>
                </w:r>
                <w:proofErr w:type="spellEnd"/>
                <w:r>
                  <w:rPr>
                    <w:sz w:val="20"/>
                  </w:rPr>
                  <w:t xml:space="preserve"> Architects, LLC., 312 Park Road, West Hartford, CT 06119</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74168F" w:rsidP="0074168F">
                <w:pPr>
                  <w:spacing w:before="20" w:after="20"/>
                  <w:jc w:val="center"/>
                  <w:rPr>
                    <w:b/>
                    <w:szCs w:val="18"/>
                  </w:rPr>
                </w:pPr>
                <w:r>
                  <w:rPr>
                    <w:b/>
                    <w:szCs w:val="18"/>
                  </w:rPr>
                  <w:t>180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74168F" w:rsidP="0074168F">
                <w:pPr>
                  <w:spacing w:before="20" w:after="20"/>
                  <w:rPr>
                    <w:b/>
                    <w:szCs w:val="18"/>
                  </w:rPr>
                </w:pPr>
                <w:r>
                  <w:rPr>
                    <w:b/>
                    <w:szCs w:val="18"/>
                  </w:rPr>
                  <w:t>1,189.00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74168F" w:rsidP="0074168F">
                <w:pPr>
                  <w:spacing w:before="20" w:after="20"/>
                  <w:rPr>
                    <w:b/>
                    <w:szCs w:val="18"/>
                  </w:rPr>
                </w:pPr>
                <w:r>
                  <w:rPr>
                    <w:b/>
                    <w:szCs w:val="18"/>
                  </w:rPr>
                  <w:t>1,129.00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74168F">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74168F">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74168F">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74168F">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74168F">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74168F">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74168F">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74168F">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794D73">
              <w:rPr>
                <w:b/>
                <w:szCs w:val="18"/>
              </w:rPr>
            </w:r>
            <w:r w:rsidR="00794D7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74168F">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794D73">
              <w:rPr>
                <w:b/>
                <w:szCs w:val="18"/>
              </w:rPr>
            </w:r>
            <w:r w:rsidR="00794D7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7416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794D73">
              <w:rPr>
                <w:b/>
                <w:szCs w:val="18"/>
              </w:rPr>
            </w:r>
            <w:r w:rsidR="00794D7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7416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794D73">
              <w:rPr>
                <w:b/>
                <w:szCs w:val="18"/>
              </w:rPr>
            </w:r>
            <w:r w:rsidR="00794D7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74168F">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794D73">
              <w:rPr>
                <w:b/>
                <w:szCs w:val="18"/>
              </w:rPr>
            </w:r>
            <w:r w:rsidR="00794D7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7416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794D73">
              <w:rPr>
                <w:b/>
                <w:szCs w:val="18"/>
              </w:rPr>
            </w:r>
            <w:r w:rsidR="00794D73">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74168F">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74168F">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74168F">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794D73">
              <w:rPr>
                <w:b/>
                <w:sz w:val="22"/>
                <w:szCs w:val="22"/>
              </w:rPr>
            </w:r>
            <w:r w:rsidR="00794D7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794D73">
              <w:rPr>
                <w:b/>
                <w:sz w:val="22"/>
                <w:szCs w:val="22"/>
              </w:rPr>
            </w:r>
            <w:r w:rsidR="00794D7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794D73">
              <w:rPr>
                <w:b/>
                <w:sz w:val="22"/>
                <w:szCs w:val="22"/>
              </w:rPr>
            </w:r>
            <w:r w:rsidR="00794D7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794D73">
              <w:rPr>
                <w:b/>
                <w:sz w:val="22"/>
                <w:szCs w:val="22"/>
              </w:rPr>
            </w:r>
            <w:r w:rsidR="00794D73">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794D73">
              <w:rPr>
                <w:b/>
                <w:sz w:val="22"/>
                <w:szCs w:val="22"/>
              </w:rPr>
            </w:r>
            <w:r w:rsidR="00794D73">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794D73"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794D73"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794D73"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794D73"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794D73"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74168F">
                <w:rPr>
                  <w:b/>
                </w:rPr>
                <w:t>BI-2B-400</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74168F">
                <w:rPr>
                  <w:b/>
                </w:rPr>
                <w:t>BI-2B-400</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794D73">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794D73">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794D73">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794D73">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68F"/>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4D73"/>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89"/>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29D2-963E-49B4-BDF3-57FA6010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32086</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BI-2B-400</cp:keywords>
  <dc:description/>
  <cp:lastModifiedBy>Walton, Mellanee</cp:lastModifiedBy>
  <cp:revision>8</cp:revision>
  <cp:lastPrinted>2018-10-11T12:18:00Z</cp:lastPrinted>
  <dcterms:created xsi:type="dcterms:W3CDTF">2018-10-11T15:19:00Z</dcterms:created>
  <dcterms:modified xsi:type="dcterms:W3CDTF">2018-11-20T17:11:00Z</dcterms:modified>
</cp:coreProperties>
</file>